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67914840" w:rsidR="000E2C35" w:rsidRDefault="00BF500E" w:rsidP="006A2DCC">
      <w:r w:rsidRPr="009C6C81">
        <w:rPr>
          <w:noProof/>
        </w:rPr>
        <mc:AlternateContent>
          <mc:Choice Requires="wps">
            <w:drawing>
              <wp:anchor distT="0" distB="0" distL="114300" distR="114300" simplePos="0" relativeHeight="251659264" behindDoc="0" locked="0" layoutInCell="1" allowOverlap="1" wp14:anchorId="6AA4C5AE" wp14:editId="58D00ABB">
                <wp:simplePos x="0" y="0"/>
                <wp:positionH relativeFrom="column">
                  <wp:posOffset>4186526</wp:posOffset>
                </wp:positionH>
                <wp:positionV relativeFrom="paragraph">
                  <wp:posOffset>138326</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F42E8" id="Rectangle 11" o:spid="_x0000_s1026" style="position:absolute;margin-left:329.65pt;margin-top:10.9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" fillcolor="#393938" strokecolor="white [3212]" strokeweight="2pt"/>
            </w:pict>
          </mc:Fallback>
        </mc:AlternateContent>
      </w:r>
    </w:p>
    <w:p w14:paraId="54210151" w14:textId="60967DFC" w:rsidR="00BF500E" w:rsidRDefault="00BF500E" w:rsidP="00835F95">
      <w:pPr>
        <w:pStyle w:val="Heading1"/>
        <w:rPr>
          <w:color w:val="A92530"/>
        </w:rPr>
      </w:pPr>
      <w:bookmarkStart w:id="0" w:name="_Toc210988149"/>
      <w:bookmarkStart w:id="1" w:name="_Toc210988211"/>
      <w:bookmarkStart w:id="2" w:name="_Toc210990433"/>
      <w:bookmarkStart w:id="3" w:name="_Toc210990739"/>
      <w:r w:rsidRPr="009C6C81">
        <w:rPr>
          <w:noProof/>
        </w:rPr>
        <mc:AlternateContent>
          <mc:Choice Requires="wps">
            <w:drawing>
              <wp:anchor distT="0" distB="0" distL="114300" distR="114300" simplePos="0" relativeHeight="251660288" behindDoc="0" locked="0" layoutInCell="1" allowOverlap="1" wp14:anchorId="28B1C02A" wp14:editId="1B01E967">
                <wp:simplePos x="0" y="0"/>
                <wp:positionH relativeFrom="column">
                  <wp:posOffset>4279265</wp:posOffset>
                </wp:positionH>
                <wp:positionV relativeFrom="paragraph">
                  <wp:posOffset>106680</wp:posOffset>
                </wp:positionV>
                <wp:extent cx="2590165" cy="11912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1191260"/>
                        </a:xfrm>
                        <a:prstGeom prst="rect">
                          <a:avLst/>
                        </a:prstGeom>
                        <a:noFill/>
                        <a:ln w="9525">
                          <a:noFill/>
                          <a:miter lim="800000"/>
                          <a:headEnd/>
                          <a:tailEnd/>
                        </a:ln>
                      </wps:spPr>
                      <wps:txbx>
                        <w:txbxContent>
                          <w:p w14:paraId="5FE02206" w14:textId="4D074524" w:rsidR="00282847" w:rsidRDefault="00BF500E" w:rsidP="00835F95">
                            <w:pPr>
                              <w:pStyle w:val="Heading2"/>
                            </w:pPr>
                            <w:bookmarkStart w:id="4" w:name="_Toc210988150"/>
                            <w:bookmarkStart w:id="5" w:name="_Toc210988212"/>
                            <w:bookmarkStart w:id="6" w:name="_Toc210990434"/>
                            <w:bookmarkStart w:id="7" w:name="_Toc210990740"/>
                            <w:r>
                              <w:t xml:space="preserve">Safer </w:t>
                            </w:r>
                            <w:r w:rsidR="000A43F9">
                              <w:t>Recruitment</w:t>
                            </w:r>
                            <w:r w:rsidR="00BD7796">
                              <w:t>, Right to Work,</w:t>
                            </w:r>
                            <w:r>
                              <w:t xml:space="preserve"> and DBS</w:t>
                            </w:r>
                            <w:bookmarkEnd w:id="4"/>
                            <w:bookmarkEnd w:id="5"/>
                            <w:bookmarkEnd w:id="6"/>
                            <w:bookmarkEnd w:id="7"/>
                            <w: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36.95pt;margin-top:8.4pt;width:203.95pt;height:93.8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" filled="f" stroked="f">
                <v:textbox>
                  <w:txbxContent>
                    <w:p w14:paraId="5FE02206" w14:textId="4D074524" w:rsidR="00282847" w:rsidRDefault="00BF500E" w:rsidP="00835F95">
                      <w:pPr>
                        <w:pStyle w:val="Heading2"/>
                      </w:pPr>
                      <w:bookmarkStart w:id="8" w:name="_Toc210988150"/>
                      <w:bookmarkStart w:id="9" w:name="_Toc210988212"/>
                      <w:bookmarkStart w:id="10" w:name="_Toc210990434"/>
                      <w:bookmarkStart w:id="11" w:name="_Toc210990740"/>
                      <w:r>
                        <w:t xml:space="preserve">Safer </w:t>
                      </w:r>
                      <w:r w:rsidR="000A43F9">
                        <w:t>Recruitment</w:t>
                      </w:r>
                      <w:r w:rsidR="00BD7796">
                        <w:t>, Right to Work,</w:t>
                      </w:r>
                      <w:r>
                        <w:t xml:space="preserve"> and DBS</w:t>
                      </w:r>
                      <w:bookmarkEnd w:id="8"/>
                      <w:bookmarkEnd w:id="9"/>
                      <w:bookmarkEnd w:id="10"/>
                      <w:bookmarkEnd w:id="11"/>
                      <w:r>
                        <w:t xml:space="preserve"> </w:t>
                      </w:r>
                    </w:p>
                  </w:txbxContent>
                </v:textbox>
              </v:shape>
            </w:pict>
          </mc:Fallback>
        </mc:AlternateContent>
      </w:r>
      <w:r>
        <w:rPr>
          <w:color w:val="A92530"/>
        </w:rPr>
        <w:t>Resourcing and Talent</w:t>
      </w:r>
      <w:bookmarkEnd w:id="0"/>
      <w:bookmarkEnd w:id="1"/>
      <w:bookmarkEnd w:id="2"/>
      <w:bookmarkEnd w:id="3"/>
    </w:p>
    <w:p w14:paraId="09D36562" w14:textId="6394DAB0" w:rsidR="000E2C35" w:rsidRPr="009C6C81" w:rsidRDefault="00BF500E" w:rsidP="00835F95">
      <w:pPr>
        <w:pStyle w:val="Heading1"/>
      </w:pPr>
      <w:bookmarkStart w:id="12" w:name="_Toc210988151"/>
      <w:bookmarkStart w:id="13" w:name="_Toc210988213"/>
      <w:bookmarkStart w:id="14" w:name="_Toc210990435"/>
      <w:bookmarkStart w:id="15" w:name="_Toc210990741"/>
      <w:r>
        <w:rPr>
          <w:color w:val="A92530"/>
        </w:rPr>
        <w:t>Procedure</w:t>
      </w:r>
      <w:bookmarkEnd w:id="12"/>
      <w:bookmarkEnd w:id="13"/>
      <w:bookmarkEnd w:id="14"/>
      <w:bookmarkEnd w:id="15"/>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701"/>
        <w:gridCol w:w="4701"/>
        <w:gridCol w:w="3379"/>
      </w:tblGrid>
      <w:tr w:rsidR="00D13FF1" w14:paraId="06DF5344" w14:textId="77777777" w:rsidTr="00835F95">
        <w:tc>
          <w:tcPr>
            <w:tcW w:w="1701" w:type="dxa"/>
            <w:tcBorders>
              <w:top w:val="single" w:sz="8" w:space="0" w:color="auto"/>
              <w:left w:val="single" w:sz="8" w:space="0" w:color="auto"/>
              <w:bottom w:val="single" w:sz="8" w:space="0" w:color="auto"/>
              <w:right w:val="single" w:sz="8" w:space="0" w:color="auto"/>
            </w:tcBorders>
            <w:shd w:val="clear" w:color="auto" w:fill="B91823"/>
            <w:tcMar>
              <w:top w:w="0" w:type="dxa"/>
              <w:left w:w="108" w:type="dxa"/>
              <w:bottom w:w="0" w:type="dxa"/>
              <w:right w:w="108" w:type="dxa"/>
            </w:tcMar>
            <w:vAlign w:val="center"/>
            <w:hideMark/>
          </w:tcPr>
          <w:p w14:paraId="4D35B9C7"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4701"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124EBA0"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3379"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07014EC"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D13FF1" w:rsidRPr="00440B9D" w14:paraId="0302B46F"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A0DA7" w14:textId="77777777" w:rsidR="00D13FF1" w:rsidRPr="00835F95" w:rsidRDefault="00D13FF1" w:rsidP="00835F95">
            <w:pPr>
              <w:spacing w:line="276" w:lineRule="auto"/>
              <w:jc w:val="center"/>
              <w:rPr>
                <w:rFonts w:cs="Arial"/>
                <w:color w:val="FF0000"/>
              </w:rPr>
            </w:pPr>
            <w:r w:rsidRPr="00835F95">
              <w:rPr>
                <w:rFonts w:cs="Arial"/>
                <w:color w:val="FF0000"/>
              </w:rPr>
              <w:t>Version 1</w:t>
            </w:r>
          </w:p>
          <w:p w14:paraId="0B3A911E" w14:textId="761C87C3" w:rsidR="00D13FF1" w:rsidRPr="00835F95" w:rsidRDefault="000A43F9" w:rsidP="00835F95">
            <w:pPr>
              <w:spacing w:line="276" w:lineRule="auto"/>
              <w:jc w:val="center"/>
              <w:rPr>
                <w:rFonts w:eastAsiaTheme="minorHAnsi" w:cs="Arial"/>
                <w:color w:val="FF0000"/>
                <w:lang w:eastAsia="en-US"/>
              </w:rPr>
            </w:pPr>
            <w:r>
              <w:rPr>
                <w:rFonts w:cs="Arial"/>
                <w:color w:val="FF0000"/>
              </w:rPr>
              <w:t>Oct 2025</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106C94" w14:textId="77777777" w:rsidR="00D13FF1" w:rsidRDefault="000A43F9" w:rsidP="00835F95">
            <w:pPr>
              <w:spacing w:line="276" w:lineRule="auto"/>
              <w:jc w:val="center"/>
              <w:rPr>
                <w:rFonts w:eastAsiaTheme="minorHAnsi" w:cs="Arial"/>
                <w:color w:val="FF0000"/>
                <w:lang w:eastAsia="en-US"/>
              </w:rPr>
            </w:pPr>
            <w:r>
              <w:rPr>
                <w:rFonts w:eastAsiaTheme="minorHAnsi" w:cs="Arial"/>
                <w:color w:val="FF0000"/>
                <w:lang w:eastAsia="en-US"/>
              </w:rPr>
              <w:t xml:space="preserve">Rebranding of policy to CFRS. Update to information on DBS checks and Right to Work legislation changes from 2025. Inclusion of Data Handling into policy. Addition of Transgender Process information, Update Service information. </w:t>
            </w:r>
            <w:r w:rsidR="00BD7796">
              <w:rPr>
                <w:rFonts w:eastAsiaTheme="minorHAnsi" w:cs="Arial"/>
                <w:color w:val="FF0000"/>
                <w:lang w:eastAsia="en-US"/>
              </w:rPr>
              <w:t xml:space="preserve">Included Right to Work new legislation. </w:t>
            </w:r>
          </w:p>
          <w:p w14:paraId="60DDF062" w14:textId="1A97BA32" w:rsidR="00540DFE" w:rsidRPr="00835F95" w:rsidRDefault="00540DFE" w:rsidP="00835F95">
            <w:pPr>
              <w:spacing w:line="276" w:lineRule="auto"/>
              <w:jc w:val="center"/>
              <w:rPr>
                <w:rFonts w:eastAsiaTheme="minorHAnsi" w:cs="Arial"/>
                <w:color w:val="FF0000"/>
                <w:lang w:eastAsia="en-US"/>
              </w:rPr>
            </w:pPr>
            <w:r>
              <w:rPr>
                <w:rFonts w:eastAsiaTheme="minorHAnsi" w:cs="Arial"/>
                <w:color w:val="FF0000"/>
                <w:lang w:eastAsia="en-US"/>
              </w:rPr>
              <w:t xml:space="preserve">Updated Appendices. </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5BBA31" w14:textId="1164ECE9" w:rsidR="00D13FF1" w:rsidRPr="00835F95" w:rsidRDefault="000A43F9" w:rsidP="00835F95">
            <w:pPr>
              <w:spacing w:line="276" w:lineRule="auto"/>
              <w:jc w:val="center"/>
              <w:rPr>
                <w:rFonts w:eastAsiaTheme="minorHAnsi" w:cs="Arial"/>
                <w:color w:val="FF0000"/>
                <w:lang w:eastAsia="en-US"/>
              </w:rPr>
            </w:pPr>
            <w:r>
              <w:rPr>
                <w:rFonts w:eastAsiaTheme="minorHAnsi" w:cs="Arial"/>
                <w:color w:val="FF0000"/>
                <w:lang w:eastAsia="en-US"/>
              </w:rPr>
              <w:t>Resourcing and Talent</w:t>
            </w:r>
          </w:p>
        </w:tc>
      </w:tr>
    </w:tbl>
    <w:p w14:paraId="34CC4324" w14:textId="77777777" w:rsidR="003F4818" w:rsidRDefault="003F4818">
      <w:pPr>
        <w:spacing w:line="240" w:lineRule="auto"/>
      </w:pPr>
    </w:p>
    <w:sdt>
      <w:sdtPr>
        <w:id w:val="451214610"/>
        <w:docPartObj>
          <w:docPartGallery w:val="Table of Contents"/>
          <w:docPartUnique/>
        </w:docPartObj>
      </w:sdtPr>
      <w:sdtEndPr>
        <w:rPr>
          <w:rFonts w:ascii="Arial" w:eastAsia="Times New Roman" w:hAnsi="Arial" w:cs="Times New Roman"/>
          <w:noProof/>
          <w:color w:val="auto"/>
          <w:sz w:val="24"/>
          <w:szCs w:val="24"/>
          <w:lang w:val="en-GB" w:eastAsia="en-GB"/>
        </w:rPr>
      </w:sdtEndPr>
      <w:sdtContent>
        <w:p w14:paraId="177EDF33" w14:textId="77777777" w:rsidR="00480006" w:rsidRDefault="000A43F9" w:rsidP="000A43F9">
          <w:pPr>
            <w:pStyle w:val="TOCHeading"/>
            <w:rPr>
              <w:noProof/>
            </w:rPr>
          </w:pPr>
          <w:r w:rsidRPr="000A43F9">
            <w:rPr>
              <w:color w:val="C00000"/>
            </w:rPr>
            <w:t>Contents</w:t>
          </w:r>
          <w:r>
            <w:fldChar w:fldCharType="begin"/>
          </w:r>
          <w:r>
            <w:instrText xml:space="preserve"> TOC \o "1-3" \h \z \u </w:instrText>
          </w:r>
          <w:r>
            <w:fldChar w:fldCharType="separate"/>
          </w:r>
        </w:p>
        <w:p w14:paraId="280CDEA2" w14:textId="76F5FECF" w:rsidR="00480006" w:rsidRDefault="00480006">
          <w:pPr>
            <w:pStyle w:val="TOC3"/>
            <w:tabs>
              <w:tab w:val="left" w:pos="960"/>
              <w:tab w:val="right" w:leader="dot" w:pos="10194"/>
            </w:tabs>
            <w:rPr>
              <w:rFonts w:asciiTheme="minorHAnsi" w:eastAsiaTheme="minorEastAsia" w:hAnsiTheme="minorHAnsi" w:cstheme="minorBidi"/>
              <w:noProof/>
              <w:kern w:val="2"/>
              <w14:ligatures w14:val="standardContextual"/>
            </w:rPr>
          </w:pPr>
          <w:hyperlink w:anchor="_Toc210990742" w:history="1">
            <w:r w:rsidRPr="00C85935">
              <w:rPr>
                <w:rStyle w:val="Hyperlink"/>
                <w:noProof/>
              </w:rPr>
              <w:t>1.</w:t>
            </w:r>
            <w:r>
              <w:rPr>
                <w:rFonts w:asciiTheme="minorHAnsi" w:eastAsiaTheme="minorEastAsia" w:hAnsiTheme="minorHAnsi" w:cstheme="minorBidi"/>
                <w:noProof/>
                <w:kern w:val="2"/>
                <w14:ligatures w14:val="standardContextual"/>
              </w:rPr>
              <w:tab/>
            </w:r>
            <w:r w:rsidRPr="00C85935">
              <w:rPr>
                <w:rStyle w:val="Hyperlink"/>
                <w:noProof/>
              </w:rPr>
              <w:t>Introduction</w:t>
            </w:r>
            <w:r>
              <w:rPr>
                <w:noProof/>
                <w:webHidden/>
              </w:rPr>
              <w:tab/>
            </w:r>
            <w:r>
              <w:rPr>
                <w:noProof/>
                <w:webHidden/>
              </w:rPr>
              <w:fldChar w:fldCharType="begin"/>
            </w:r>
            <w:r>
              <w:rPr>
                <w:noProof/>
                <w:webHidden/>
              </w:rPr>
              <w:instrText xml:space="preserve"> PAGEREF _Toc210990742 \h </w:instrText>
            </w:r>
            <w:r>
              <w:rPr>
                <w:noProof/>
                <w:webHidden/>
              </w:rPr>
            </w:r>
            <w:r>
              <w:rPr>
                <w:noProof/>
                <w:webHidden/>
              </w:rPr>
              <w:fldChar w:fldCharType="separate"/>
            </w:r>
            <w:r>
              <w:rPr>
                <w:noProof/>
                <w:webHidden/>
              </w:rPr>
              <w:t>2</w:t>
            </w:r>
            <w:r>
              <w:rPr>
                <w:noProof/>
                <w:webHidden/>
              </w:rPr>
              <w:fldChar w:fldCharType="end"/>
            </w:r>
          </w:hyperlink>
        </w:p>
        <w:p w14:paraId="10C5A593" w14:textId="2B502648" w:rsidR="00480006" w:rsidRDefault="00480006">
          <w:pPr>
            <w:pStyle w:val="TOC3"/>
            <w:tabs>
              <w:tab w:val="left" w:pos="960"/>
              <w:tab w:val="right" w:leader="dot" w:pos="10194"/>
            </w:tabs>
            <w:rPr>
              <w:rFonts w:asciiTheme="minorHAnsi" w:eastAsiaTheme="minorEastAsia" w:hAnsiTheme="minorHAnsi" w:cstheme="minorBidi"/>
              <w:noProof/>
              <w:kern w:val="2"/>
              <w14:ligatures w14:val="standardContextual"/>
            </w:rPr>
          </w:pPr>
          <w:hyperlink w:anchor="_Toc210990743" w:history="1">
            <w:r w:rsidRPr="00C85935">
              <w:rPr>
                <w:rStyle w:val="Hyperlink"/>
                <w:noProof/>
              </w:rPr>
              <w:t>2.</w:t>
            </w:r>
            <w:r>
              <w:rPr>
                <w:rFonts w:asciiTheme="minorHAnsi" w:eastAsiaTheme="minorEastAsia" w:hAnsiTheme="minorHAnsi" w:cstheme="minorBidi"/>
                <w:noProof/>
                <w:kern w:val="2"/>
                <w14:ligatures w14:val="standardContextual"/>
              </w:rPr>
              <w:tab/>
            </w:r>
            <w:r w:rsidRPr="00C85935">
              <w:rPr>
                <w:rStyle w:val="Hyperlink"/>
                <w:noProof/>
              </w:rPr>
              <w:t>Scope</w:t>
            </w:r>
            <w:r>
              <w:rPr>
                <w:noProof/>
                <w:webHidden/>
              </w:rPr>
              <w:tab/>
            </w:r>
            <w:r>
              <w:rPr>
                <w:noProof/>
                <w:webHidden/>
              </w:rPr>
              <w:fldChar w:fldCharType="begin"/>
            </w:r>
            <w:r>
              <w:rPr>
                <w:noProof/>
                <w:webHidden/>
              </w:rPr>
              <w:instrText xml:space="preserve"> PAGEREF _Toc210990743 \h </w:instrText>
            </w:r>
            <w:r>
              <w:rPr>
                <w:noProof/>
                <w:webHidden/>
              </w:rPr>
            </w:r>
            <w:r>
              <w:rPr>
                <w:noProof/>
                <w:webHidden/>
              </w:rPr>
              <w:fldChar w:fldCharType="separate"/>
            </w:r>
            <w:r>
              <w:rPr>
                <w:noProof/>
                <w:webHidden/>
              </w:rPr>
              <w:t>2</w:t>
            </w:r>
            <w:r>
              <w:rPr>
                <w:noProof/>
                <w:webHidden/>
              </w:rPr>
              <w:fldChar w:fldCharType="end"/>
            </w:r>
          </w:hyperlink>
        </w:p>
        <w:p w14:paraId="096DBF23" w14:textId="1501820C" w:rsidR="00480006" w:rsidRDefault="00480006">
          <w:pPr>
            <w:pStyle w:val="TOC3"/>
            <w:tabs>
              <w:tab w:val="left" w:pos="960"/>
              <w:tab w:val="right" w:leader="dot" w:pos="10194"/>
            </w:tabs>
            <w:rPr>
              <w:rFonts w:asciiTheme="minorHAnsi" w:eastAsiaTheme="minorEastAsia" w:hAnsiTheme="minorHAnsi" w:cstheme="minorBidi"/>
              <w:noProof/>
              <w:kern w:val="2"/>
              <w14:ligatures w14:val="standardContextual"/>
            </w:rPr>
          </w:pPr>
          <w:hyperlink w:anchor="_Toc210990744" w:history="1">
            <w:r w:rsidRPr="00C85935">
              <w:rPr>
                <w:rStyle w:val="Hyperlink"/>
                <w:noProof/>
              </w:rPr>
              <w:t>3.</w:t>
            </w:r>
            <w:r>
              <w:rPr>
                <w:rFonts w:asciiTheme="minorHAnsi" w:eastAsiaTheme="minorEastAsia" w:hAnsiTheme="minorHAnsi" w:cstheme="minorBidi"/>
                <w:noProof/>
                <w:kern w:val="2"/>
                <w14:ligatures w14:val="standardContextual"/>
              </w:rPr>
              <w:tab/>
            </w:r>
            <w:r w:rsidRPr="00C85935">
              <w:rPr>
                <w:rStyle w:val="Hyperlink"/>
                <w:noProof/>
              </w:rPr>
              <w:t>Safe and Fair Recruitment</w:t>
            </w:r>
            <w:r>
              <w:rPr>
                <w:noProof/>
                <w:webHidden/>
              </w:rPr>
              <w:tab/>
            </w:r>
            <w:r>
              <w:rPr>
                <w:noProof/>
                <w:webHidden/>
              </w:rPr>
              <w:fldChar w:fldCharType="begin"/>
            </w:r>
            <w:r>
              <w:rPr>
                <w:noProof/>
                <w:webHidden/>
              </w:rPr>
              <w:instrText xml:space="preserve"> PAGEREF _Toc210990744 \h </w:instrText>
            </w:r>
            <w:r>
              <w:rPr>
                <w:noProof/>
                <w:webHidden/>
              </w:rPr>
            </w:r>
            <w:r>
              <w:rPr>
                <w:noProof/>
                <w:webHidden/>
              </w:rPr>
              <w:fldChar w:fldCharType="separate"/>
            </w:r>
            <w:r>
              <w:rPr>
                <w:noProof/>
                <w:webHidden/>
              </w:rPr>
              <w:t>2</w:t>
            </w:r>
            <w:r>
              <w:rPr>
                <w:noProof/>
                <w:webHidden/>
              </w:rPr>
              <w:fldChar w:fldCharType="end"/>
            </w:r>
          </w:hyperlink>
        </w:p>
        <w:p w14:paraId="524A672C" w14:textId="73F5D5BD" w:rsidR="00480006" w:rsidRDefault="00480006">
          <w:pPr>
            <w:pStyle w:val="TOC3"/>
            <w:tabs>
              <w:tab w:val="left" w:pos="960"/>
              <w:tab w:val="right" w:leader="dot" w:pos="10194"/>
            </w:tabs>
            <w:rPr>
              <w:rFonts w:asciiTheme="minorHAnsi" w:eastAsiaTheme="minorEastAsia" w:hAnsiTheme="minorHAnsi" w:cstheme="minorBidi"/>
              <w:noProof/>
              <w:kern w:val="2"/>
              <w14:ligatures w14:val="standardContextual"/>
            </w:rPr>
          </w:pPr>
          <w:hyperlink w:anchor="_Toc210990745" w:history="1">
            <w:r w:rsidRPr="00C85935">
              <w:rPr>
                <w:rStyle w:val="Hyperlink"/>
                <w:noProof/>
              </w:rPr>
              <w:t>4.</w:t>
            </w:r>
            <w:r>
              <w:rPr>
                <w:rFonts w:asciiTheme="minorHAnsi" w:eastAsiaTheme="minorEastAsia" w:hAnsiTheme="minorHAnsi" w:cstheme="minorBidi"/>
                <w:noProof/>
                <w:kern w:val="2"/>
                <w14:ligatures w14:val="standardContextual"/>
              </w:rPr>
              <w:tab/>
            </w:r>
            <w:r w:rsidRPr="00C85935">
              <w:rPr>
                <w:rStyle w:val="Hyperlink"/>
                <w:noProof/>
              </w:rPr>
              <w:t>Rehabilitation of Offenders Act 1974 (ROA)</w:t>
            </w:r>
            <w:r>
              <w:rPr>
                <w:noProof/>
                <w:webHidden/>
              </w:rPr>
              <w:tab/>
            </w:r>
            <w:r>
              <w:rPr>
                <w:noProof/>
                <w:webHidden/>
              </w:rPr>
              <w:fldChar w:fldCharType="begin"/>
            </w:r>
            <w:r>
              <w:rPr>
                <w:noProof/>
                <w:webHidden/>
              </w:rPr>
              <w:instrText xml:space="preserve"> PAGEREF _Toc210990745 \h </w:instrText>
            </w:r>
            <w:r>
              <w:rPr>
                <w:noProof/>
                <w:webHidden/>
              </w:rPr>
            </w:r>
            <w:r>
              <w:rPr>
                <w:noProof/>
                <w:webHidden/>
              </w:rPr>
              <w:fldChar w:fldCharType="separate"/>
            </w:r>
            <w:r>
              <w:rPr>
                <w:noProof/>
                <w:webHidden/>
              </w:rPr>
              <w:t>2</w:t>
            </w:r>
            <w:r>
              <w:rPr>
                <w:noProof/>
                <w:webHidden/>
              </w:rPr>
              <w:fldChar w:fldCharType="end"/>
            </w:r>
          </w:hyperlink>
        </w:p>
        <w:p w14:paraId="0B64EB70" w14:textId="51FED92F" w:rsidR="00480006" w:rsidRDefault="00480006">
          <w:pPr>
            <w:pStyle w:val="TOC3"/>
            <w:tabs>
              <w:tab w:val="left" w:pos="960"/>
              <w:tab w:val="right" w:leader="dot" w:pos="10194"/>
            </w:tabs>
            <w:rPr>
              <w:rFonts w:asciiTheme="minorHAnsi" w:eastAsiaTheme="minorEastAsia" w:hAnsiTheme="minorHAnsi" w:cstheme="minorBidi"/>
              <w:noProof/>
              <w:kern w:val="2"/>
              <w14:ligatures w14:val="standardContextual"/>
            </w:rPr>
          </w:pPr>
          <w:hyperlink w:anchor="_Toc210990746" w:history="1">
            <w:r w:rsidRPr="00C85935">
              <w:rPr>
                <w:rStyle w:val="Hyperlink"/>
                <w:noProof/>
              </w:rPr>
              <w:t>5.</w:t>
            </w:r>
            <w:r>
              <w:rPr>
                <w:rFonts w:asciiTheme="minorHAnsi" w:eastAsiaTheme="minorEastAsia" w:hAnsiTheme="minorHAnsi" w:cstheme="minorBidi"/>
                <w:noProof/>
                <w:kern w:val="2"/>
                <w14:ligatures w14:val="standardContextual"/>
              </w:rPr>
              <w:tab/>
            </w:r>
            <w:r w:rsidRPr="00C85935">
              <w:rPr>
                <w:rStyle w:val="Hyperlink"/>
                <w:noProof/>
              </w:rPr>
              <w:t>Disclosure and Barring Service and DBS Checks</w:t>
            </w:r>
            <w:r>
              <w:rPr>
                <w:noProof/>
                <w:webHidden/>
              </w:rPr>
              <w:tab/>
            </w:r>
            <w:r>
              <w:rPr>
                <w:noProof/>
                <w:webHidden/>
              </w:rPr>
              <w:fldChar w:fldCharType="begin"/>
            </w:r>
            <w:r>
              <w:rPr>
                <w:noProof/>
                <w:webHidden/>
              </w:rPr>
              <w:instrText xml:space="preserve"> PAGEREF _Toc210990746 \h </w:instrText>
            </w:r>
            <w:r>
              <w:rPr>
                <w:noProof/>
                <w:webHidden/>
              </w:rPr>
            </w:r>
            <w:r>
              <w:rPr>
                <w:noProof/>
                <w:webHidden/>
              </w:rPr>
              <w:fldChar w:fldCharType="separate"/>
            </w:r>
            <w:r>
              <w:rPr>
                <w:noProof/>
                <w:webHidden/>
              </w:rPr>
              <w:t>4</w:t>
            </w:r>
            <w:r>
              <w:rPr>
                <w:noProof/>
                <w:webHidden/>
              </w:rPr>
              <w:fldChar w:fldCharType="end"/>
            </w:r>
          </w:hyperlink>
        </w:p>
        <w:p w14:paraId="39A8E31B" w14:textId="33CA81D1" w:rsidR="00480006" w:rsidRDefault="00480006">
          <w:pPr>
            <w:pStyle w:val="TOC3"/>
            <w:tabs>
              <w:tab w:val="left" w:pos="960"/>
              <w:tab w:val="right" w:leader="dot" w:pos="10194"/>
            </w:tabs>
            <w:rPr>
              <w:rFonts w:asciiTheme="minorHAnsi" w:eastAsiaTheme="minorEastAsia" w:hAnsiTheme="minorHAnsi" w:cstheme="minorBidi"/>
              <w:noProof/>
              <w:kern w:val="2"/>
              <w14:ligatures w14:val="standardContextual"/>
            </w:rPr>
          </w:pPr>
          <w:hyperlink w:anchor="_Toc210990747" w:history="1">
            <w:r w:rsidRPr="00C85935">
              <w:rPr>
                <w:rStyle w:val="Hyperlink"/>
                <w:noProof/>
              </w:rPr>
              <w:t>6.</w:t>
            </w:r>
            <w:r>
              <w:rPr>
                <w:rFonts w:asciiTheme="minorHAnsi" w:eastAsiaTheme="minorEastAsia" w:hAnsiTheme="minorHAnsi" w:cstheme="minorBidi"/>
                <w:noProof/>
                <w:kern w:val="2"/>
                <w14:ligatures w14:val="standardContextual"/>
              </w:rPr>
              <w:tab/>
            </w:r>
            <w:r w:rsidRPr="00C85935">
              <w:rPr>
                <w:rStyle w:val="Hyperlink"/>
                <w:noProof/>
              </w:rPr>
              <w:t>Transgender Process for DBS Checks</w:t>
            </w:r>
            <w:r>
              <w:rPr>
                <w:noProof/>
                <w:webHidden/>
              </w:rPr>
              <w:tab/>
            </w:r>
            <w:r>
              <w:rPr>
                <w:noProof/>
                <w:webHidden/>
              </w:rPr>
              <w:fldChar w:fldCharType="begin"/>
            </w:r>
            <w:r>
              <w:rPr>
                <w:noProof/>
                <w:webHidden/>
              </w:rPr>
              <w:instrText xml:space="preserve"> PAGEREF _Toc210990747 \h </w:instrText>
            </w:r>
            <w:r>
              <w:rPr>
                <w:noProof/>
                <w:webHidden/>
              </w:rPr>
            </w:r>
            <w:r>
              <w:rPr>
                <w:noProof/>
                <w:webHidden/>
              </w:rPr>
              <w:fldChar w:fldCharType="separate"/>
            </w:r>
            <w:r>
              <w:rPr>
                <w:noProof/>
                <w:webHidden/>
              </w:rPr>
              <w:t>7</w:t>
            </w:r>
            <w:r>
              <w:rPr>
                <w:noProof/>
                <w:webHidden/>
              </w:rPr>
              <w:fldChar w:fldCharType="end"/>
            </w:r>
          </w:hyperlink>
        </w:p>
        <w:p w14:paraId="1F1D5E39" w14:textId="1733F0E1" w:rsidR="00480006" w:rsidRDefault="00480006">
          <w:pPr>
            <w:pStyle w:val="TOC3"/>
            <w:tabs>
              <w:tab w:val="left" w:pos="960"/>
              <w:tab w:val="right" w:leader="dot" w:pos="10194"/>
            </w:tabs>
            <w:rPr>
              <w:rFonts w:asciiTheme="minorHAnsi" w:eastAsiaTheme="minorEastAsia" w:hAnsiTheme="minorHAnsi" w:cstheme="minorBidi"/>
              <w:noProof/>
              <w:kern w:val="2"/>
              <w14:ligatures w14:val="standardContextual"/>
            </w:rPr>
          </w:pPr>
          <w:hyperlink w:anchor="_Toc210990748" w:history="1">
            <w:r w:rsidRPr="00C85935">
              <w:rPr>
                <w:rStyle w:val="Hyperlink"/>
                <w:noProof/>
              </w:rPr>
              <w:t>7.</w:t>
            </w:r>
            <w:r>
              <w:rPr>
                <w:rFonts w:asciiTheme="minorHAnsi" w:eastAsiaTheme="minorEastAsia" w:hAnsiTheme="minorHAnsi" w:cstheme="minorBidi"/>
                <w:noProof/>
                <w:kern w:val="2"/>
                <w14:ligatures w14:val="standardContextual"/>
              </w:rPr>
              <w:tab/>
            </w:r>
            <w:r w:rsidRPr="00C85935">
              <w:rPr>
                <w:rStyle w:val="Hyperlink"/>
                <w:noProof/>
              </w:rPr>
              <w:t>Update Service</w:t>
            </w:r>
            <w:r>
              <w:rPr>
                <w:noProof/>
                <w:webHidden/>
              </w:rPr>
              <w:tab/>
            </w:r>
            <w:r>
              <w:rPr>
                <w:noProof/>
                <w:webHidden/>
              </w:rPr>
              <w:fldChar w:fldCharType="begin"/>
            </w:r>
            <w:r>
              <w:rPr>
                <w:noProof/>
                <w:webHidden/>
              </w:rPr>
              <w:instrText xml:space="preserve"> PAGEREF _Toc210990748 \h </w:instrText>
            </w:r>
            <w:r>
              <w:rPr>
                <w:noProof/>
                <w:webHidden/>
              </w:rPr>
            </w:r>
            <w:r>
              <w:rPr>
                <w:noProof/>
                <w:webHidden/>
              </w:rPr>
              <w:fldChar w:fldCharType="separate"/>
            </w:r>
            <w:r>
              <w:rPr>
                <w:noProof/>
                <w:webHidden/>
              </w:rPr>
              <w:t>7</w:t>
            </w:r>
            <w:r>
              <w:rPr>
                <w:noProof/>
                <w:webHidden/>
              </w:rPr>
              <w:fldChar w:fldCharType="end"/>
            </w:r>
          </w:hyperlink>
        </w:p>
        <w:p w14:paraId="44B47B43" w14:textId="29BB28F7" w:rsidR="00480006" w:rsidRDefault="00480006">
          <w:pPr>
            <w:pStyle w:val="TOC3"/>
            <w:tabs>
              <w:tab w:val="left" w:pos="960"/>
              <w:tab w:val="right" w:leader="dot" w:pos="10194"/>
            </w:tabs>
            <w:rPr>
              <w:rFonts w:asciiTheme="minorHAnsi" w:eastAsiaTheme="minorEastAsia" w:hAnsiTheme="minorHAnsi" w:cstheme="minorBidi"/>
              <w:noProof/>
              <w:kern w:val="2"/>
              <w14:ligatures w14:val="standardContextual"/>
            </w:rPr>
          </w:pPr>
          <w:hyperlink w:anchor="_Toc210990749" w:history="1">
            <w:r w:rsidRPr="00C85935">
              <w:rPr>
                <w:rStyle w:val="Hyperlink"/>
                <w:noProof/>
              </w:rPr>
              <w:t>8.</w:t>
            </w:r>
            <w:r>
              <w:rPr>
                <w:rFonts w:asciiTheme="minorHAnsi" w:eastAsiaTheme="minorEastAsia" w:hAnsiTheme="minorHAnsi" w:cstheme="minorBidi"/>
                <w:noProof/>
                <w:kern w:val="2"/>
                <w14:ligatures w14:val="standardContextual"/>
              </w:rPr>
              <w:tab/>
            </w:r>
            <w:r w:rsidRPr="00C85935">
              <w:rPr>
                <w:rStyle w:val="Hyperlink"/>
                <w:noProof/>
              </w:rPr>
              <w:t>DBS at Pre-Employment</w:t>
            </w:r>
            <w:r>
              <w:rPr>
                <w:noProof/>
                <w:webHidden/>
              </w:rPr>
              <w:tab/>
            </w:r>
            <w:r>
              <w:rPr>
                <w:noProof/>
                <w:webHidden/>
              </w:rPr>
              <w:fldChar w:fldCharType="begin"/>
            </w:r>
            <w:r>
              <w:rPr>
                <w:noProof/>
                <w:webHidden/>
              </w:rPr>
              <w:instrText xml:space="preserve"> PAGEREF _Toc210990749 \h </w:instrText>
            </w:r>
            <w:r>
              <w:rPr>
                <w:noProof/>
                <w:webHidden/>
              </w:rPr>
            </w:r>
            <w:r>
              <w:rPr>
                <w:noProof/>
                <w:webHidden/>
              </w:rPr>
              <w:fldChar w:fldCharType="separate"/>
            </w:r>
            <w:r>
              <w:rPr>
                <w:noProof/>
                <w:webHidden/>
              </w:rPr>
              <w:t>7</w:t>
            </w:r>
            <w:r>
              <w:rPr>
                <w:noProof/>
                <w:webHidden/>
              </w:rPr>
              <w:fldChar w:fldCharType="end"/>
            </w:r>
          </w:hyperlink>
        </w:p>
        <w:p w14:paraId="5AE988EA" w14:textId="5DCB11E0" w:rsidR="00480006" w:rsidRDefault="00480006">
          <w:pPr>
            <w:pStyle w:val="TOC3"/>
            <w:tabs>
              <w:tab w:val="left" w:pos="960"/>
              <w:tab w:val="right" w:leader="dot" w:pos="10194"/>
            </w:tabs>
            <w:rPr>
              <w:rFonts w:asciiTheme="minorHAnsi" w:eastAsiaTheme="minorEastAsia" w:hAnsiTheme="minorHAnsi" w:cstheme="minorBidi"/>
              <w:noProof/>
              <w:kern w:val="2"/>
              <w14:ligatures w14:val="standardContextual"/>
            </w:rPr>
          </w:pPr>
          <w:hyperlink w:anchor="_Toc210990750" w:history="1">
            <w:r w:rsidRPr="00C85935">
              <w:rPr>
                <w:rStyle w:val="Hyperlink"/>
                <w:noProof/>
              </w:rPr>
              <w:t>9.</w:t>
            </w:r>
            <w:r>
              <w:rPr>
                <w:rFonts w:asciiTheme="minorHAnsi" w:eastAsiaTheme="minorEastAsia" w:hAnsiTheme="minorHAnsi" w:cstheme="minorBidi"/>
                <w:noProof/>
                <w:kern w:val="2"/>
                <w14:ligatures w14:val="standardContextual"/>
              </w:rPr>
              <w:tab/>
            </w:r>
            <w:r w:rsidRPr="00C85935">
              <w:rPr>
                <w:rStyle w:val="Hyperlink"/>
                <w:noProof/>
              </w:rPr>
              <w:t>Positive Disclosure and Risk Assessment - Process</w:t>
            </w:r>
            <w:r>
              <w:rPr>
                <w:noProof/>
                <w:webHidden/>
              </w:rPr>
              <w:tab/>
            </w:r>
            <w:r>
              <w:rPr>
                <w:noProof/>
                <w:webHidden/>
              </w:rPr>
              <w:fldChar w:fldCharType="begin"/>
            </w:r>
            <w:r>
              <w:rPr>
                <w:noProof/>
                <w:webHidden/>
              </w:rPr>
              <w:instrText xml:space="preserve"> PAGEREF _Toc210990750 \h </w:instrText>
            </w:r>
            <w:r>
              <w:rPr>
                <w:noProof/>
                <w:webHidden/>
              </w:rPr>
            </w:r>
            <w:r>
              <w:rPr>
                <w:noProof/>
                <w:webHidden/>
              </w:rPr>
              <w:fldChar w:fldCharType="separate"/>
            </w:r>
            <w:r>
              <w:rPr>
                <w:noProof/>
                <w:webHidden/>
              </w:rPr>
              <w:t>8</w:t>
            </w:r>
            <w:r>
              <w:rPr>
                <w:noProof/>
                <w:webHidden/>
              </w:rPr>
              <w:fldChar w:fldCharType="end"/>
            </w:r>
          </w:hyperlink>
        </w:p>
        <w:p w14:paraId="4C364F1A" w14:textId="56B506E6" w:rsidR="00480006" w:rsidRDefault="00480006">
          <w:pPr>
            <w:pStyle w:val="TOC3"/>
            <w:tabs>
              <w:tab w:val="left" w:pos="1200"/>
              <w:tab w:val="right" w:leader="dot" w:pos="10194"/>
            </w:tabs>
            <w:rPr>
              <w:rFonts w:asciiTheme="minorHAnsi" w:eastAsiaTheme="minorEastAsia" w:hAnsiTheme="minorHAnsi" w:cstheme="minorBidi"/>
              <w:noProof/>
              <w:kern w:val="2"/>
              <w14:ligatures w14:val="standardContextual"/>
            </w:rPr>
          </w:pPr>
          <w:hyperlink w:anchor="_Toc210990751" w:history="1">
            <w:r w:rsidRPr="00C85935">
              <w:rPr>
                <w:rStyle w:val="Hyperlink"/>
                <w:noProof/>
              </w:rPr>
              <w:t>10.</w:t>
            </w:r>
            <w:r>
              <w:rPr>
                <w:rFonts w:asciiTheme="minorHAnsi" w:eastAsiaTheme="minorEastAsia" w:hAnsiTheme="minorHAnsi" w:cstheme="minorBidi"/>
                <w:noProof/>
                <w:kern w:val="2"/>
                <w14:ligatures w14:val="standardContextual"/>
              </w:rPr>
              <w:tab/>
            </w:r>
            <w:r w:rsidRPr="00C85935">
              <w:rPr>
                <w:rStyle w:val="Hyperlink"/>
                <w:noProof/>
              </w:rPr>
              <w:t>DBS Data Handling, Use, Storage, Retention, and Disposal</w:t>
            </w:r>
            <w:r>
              <w:rPr>
                <w:noProof/>
                <w:webHidden/>
              </w:rPr>
              <w:tab/>
            </w:r>
            <w:r>
              <w:rPr>
                <w:noProof/>
                <w:webHidden/>
              </w:rPr>
              <w:fldChar w:fldCharType="begin"/>
            </w:r>
            <w:r>
              <w:rPr>
                <w:noProof/>
                <w:webHidden/>
              </w:rPr>
              <w:instrText xml:space="preserve"> PAGEREF _Toc210990751 \h </w:instrText>
            </w:r>
            <w:r>
              <w:rPr>
                <w:noProof/>
                <w:webHidden/>
              </w:rPr>
            </w:r>
            <w:r>
              <w:rPr>
                <w:noProof/>
                <w:webHidden/>
              </w:rPr>
              <w:fldChar w:fldCharType="separate"/>
            </w:r>
            <w:r>
              <w:rPr>
                <w:noProof/>
                <w:webHidden/>
              </w:rPr>
              <w:t>9</w:t>
            </w:r>
            <w:r>
              <w:rPr>
                <w:noProof/>
                <w:webHidden/>
              </w:rPr>
              <w:fldChar w:fldCharType="end"/>
            </w:r>
          </w:hyperlink>
        </w:p>
        <w:p w14:paraId="5A8566F8" w14:textId="23817A46" w:rsidR="00480006" w:rsidRDefault="00480006">
          <w:pPr>
            <w:pStyle w:val="TOC3"/>
            <w:tabs>
              <w:tab w:val="left" w:pos="1200"/>
              <w:tab w:val="right" w:leader="dot" w:pos="10194"/>
            </w:tabs>
            <w:rPr>
              <w:rFonts w:asciiTheme="minorHAnsi" w:eastAsiaTheme="minorEastAsia" w:hAnsiTheme="minorHAnsi" w:cstheme="minorBidi"/>
              <w:noProof/>
              <w:kern w:val="2"/>
              <w14:ligatures w14:val="standardContextual"/>
            </w:rPr>
          </w:pPr>
          <w:hyperlink w:anchor="_Toc210990752" w:history="1">
            <w:r w:rsidRPr="00C85935">
              <w:rPr>
                <w:rStyle w:val="Hyperlink"/>
                <w:noProof/>
              </w:rPr>
              <w:t>11.</w:t>
            </w:r>
            <w:r>
              <w:rPr>
                <w:rFonts w:asciiTheme="minorHAnsi" w:eastAsiaTheme="minorEastAsia" w:hAnsiTheme="minorHAnsi" w:cstheme="minorBidi"/>
                <w:noProof/>
                <w:kern w:val="2"/>
                <w14:ligatures w14:val="standardContextual"/>
              </w:rPr>
              <w:tab/>
            </w:r>
            <w:r w:rsidRPr="00C85935">
              <w:rPr>
                <w:rStyle w:val="Hyperlink"/>
                <w:noProof/>
              </w:rPr>
              <w:t>Right to Work</w:t>
            </w:r>
            <w:r>
              <w:rPr>
                <w:noProof/>
                <w:webHidden/>
              </w:rPr>
              <w:tab/>
            </w:r>
            <w:r>
              <w:rPr>
                <w:noProof/>
                <w:webHidden/>
              </w:rPr>
              <w:fldChar w:fldCharType="begin"/>
            </w:r>
            <w:r>
              <w:rPr>
                <w:noProof/>
                <w:webHidden/>
              </w:rPr>
              <w:instrText xml:space="preserve"> PAGEREF _Toc210990752 \h </w:instrText>
            </w:r>
            <w:r>
              <w:rPr>
                <w:noProof/>
                <w:webHidden/>
              </w:rPr>
            </w:r>
            <w:r>
              <w:rPr>
                <w:noProof/>
                <w:webHidden/>
              </w:rPr>
              <w:fldChar w:fldCharType="separate"/>
            </w:r>
            <w:r>
              <w:rPr>
                <w:noProof/>
                <w:webHidden/>
              </w:rPr>
              <w:t>11</w:t>
            </w:r>
            <w:r>
              <w:rPr>
                <w:noProof/>
                <w:webHidden/>
              </w:rPr>
              <w:fldChar w:fldCharType="end"/>
            </w:r>
          </w:hyperlink>
        </w:p>
        <w:p w14:paraId="4ACC1FB8" w14:textId="2FB62E75" w:rsidR="00480006" w:rsidRDefault="00480006">
          <w:pPr>
            <w:pStyle w:val="TOC1"/>
            <w:rPr>
              <w:rFonts w:asciiTheme="minorHAnsi" w:eastAsiaTheme="minorEastAsia" w:hAnsiTheme="minorHAnsi" w:cstheme="minorBidi"/>
              <w:b w:val="0"/>
              <w:w w:val="100"/>
              <w:kern w:val="2"/>
              <w:lang w:eastAsia="en-GB"/>
              <w14:ligatures w14:val="standardContextual"/>
            </w:rPr>
          </w:pPr>
          <w:hyperlink w:anchor="_Toc210990753" w:history="1">
            <w:r w:rsidRPr="00C85935">
              <w:rPr>
                <w:rStyle w:val="Hyperlink"/>
              </w:rPr>
              <w:t>APPENDIX A – Identity Checking for Right to Work</w:t>
            </w:r>
            <w:r>
              <w:rPr>
                <w:webHidden/>
              </w:rPr>
              <w:tab/>
            </w:r>
            <w:r>
              <w:rPr>
                <w:webHidden/>
              </w:rPr>
              <w:fldChar w:fldCharType="begin"/>
            </w:r>
            <w:r>
              <w:rPr>
                <w:webHidden/>
              </w:rPr>
              <w:instrText xml:space="preserve"> PAGEREF _Toc210990753 \h </w:instrText>
            </w:r>
            <w:r>
              <w:rPr>
                <w:webHidden/>
              </w:rPr>
            </w:r>
            <w:r>
              <w:rPr>
                <w:webHidden/>
              </w:rPr>
              <w:fldChar w:fldCharType="separate"/>
            </w:r>
            <w:r>
              <w:rPr>
                <w:webHidden/>
              </w:rPr>
              <w:t>14</w:t>
            </w:r>
            <w:r>
              <w:rPr>
                <w:webHidden/>
              </w:rPr>
              <w:fldChar w:fldCharType="end"/>
            </w:r>
          </w:hyperlink>
        </w:p>
        <w:p w14:paraId="13E9B7B4" w14:textId="3223942D" w:rsidR="00480006" w:rsidRDefault="00480006">
          <w:pPr>
            <w:pStyle w:val="TOC1"/>
            <w:rPr>
              <w:rFonts w:asciiTheme="minorHAnsi" w:eastAsiaTheme="minorEastAsia" w:hAnsiTheme="minorHAnsi" w:cstheme="minorBidi"/>
              <w:b w:val="0"/>
              <w:w w:val="100"/>
              <w:kern w:val="2"/>
              <w:lang w:eastAsia="en-GB"/>
              <w14:ligatures w14:val="standardContextual"/>
            </w:rPr>
          </w:pPr>
          <w:hyperlink w:anchor="_Toc210990754" w:history="1">
            <w:r w:rsidRPr="00C85935">
              <w:rPr>
                <w:rStyle w:val="Hyperlink"/>
              </w:rPr>
              <w:t>APPENDIX B – RIGHT TO WORK DOCUMENT LISTS</w:t>
            </w:r>
            <w:r>
              <w:rPr>
                <w:webHidden/>
              </w:rPr>
              <w:tab/>
            </w:r>
            <w:r>
              <w:rPr>
                <w:webHidden/>
              </w:rPr>
              <w:fldChar w:fldCharType="begin"/>
            </w:r>
            <w:r>
              <w:rPr>
                <w:webHidden/>
              </w:rPr>
              <w:instrText xml:space="preserve"> PAGEREF _Toc210990754 \h </w:instrText>
            </w:r>
            <w:r>
              <w:rPr>
                <w:webHidden/>
              </w:rPr>
            </w:r>
            <w:r>
              <w:rPr>
                <w:webHidden/>
              </w:rPr>
              <w:fldChar w:fldCharType="separate"/>
            </w:r>
            <w:r>
              <w:rPr>
                <w:webHidden/>
              </w:rPr>
              <w:t>17</w:t>
            </w:r>
            <w:r>
              <w:rPr>
                <w:webHidden/>
              </w:rPr>
              <w:fldChar w:fldCharType="end"/>
            </w:r>
          </w:hyperlink>
        </w:p>
        <w:p w14:paraId="08393069" w14:textId="0E88B37D" w:rsidR="00480006" w:rsidRDefault="00480006">
          <w:pPr>
            <w:pStyle w:val="TOC1"/>
            <w:rPr>
              <w:rFonts w:asciiTheme="minorHAnsi" w:eastAsiaTheme="minorEastAsia" w:hAnsiTheme="minorHAnsi" w:cstheme="minorBidi"/>
              <w:b w:val="0"/>
              <w:w w:val="100"/>
              <w:kern w:val="2"/>
              <w:lang w:eastAsia="en-GB"/>
              <w14:ligatures w14:val="standardContextual"/>
            </w:rPr>
          </w:pPr>
          <w:hyperlink w:anchor="_Toc210990755" w:history="1">
            <w:r w:rsidRPr="00C85935">
              <w:rPr>
                <w:rStyle w:val="Hyperlink"/>
              </w:rPr>
              <w:t>APPENDIX C – Overseas Applicants DBS Checks</w:t>
            </w:r>
            <w:r>
              <w:rPr>
                <w:webHidden/>
              </w:rPr>
              <w:tab/>
            </w:r>
            <w:r>
              <w:rPr>
                <w:webHidden/>
              </w:rPr>
              <w:fldChar w:fldCharType="begin"/>
            </w:r>
            <w:r>
              <w:rPr>
                <w:webHidden/>
              </w:rPr>
              <w:instrText xml:space="preserve"> PAGEREF _Toc210990755 \h </w:instrText>
            </w:r>
            <w:r>
              <w:rPr>
                <w:webHidden/>
              </w:rPr>
            </w:r>
            <w:r>
              <w:rPr>
                <w:webHidden/>
              </w:rPr>
              <w:fldChar w:fldCharType="separate"/>
            </w:r>
            <w:r>
              <w:rPr>
                <w:webHidden/>
              </w:rPr>
              <w:t>22</w:t>
            </w:r>
            <w:r>
              <w:rPr>
                <w:webHidden/>
              </w:rPr>
              <w:fldChar w:fldCharType="end"/>
            </w:r>
          </w:hyperlink>
        </w:p>
        <w:p w14:paraId="4B4D8740" w14:textId="1D7C524C" w:rsidR="000A43F9" w:rsidRDefault="000A43F9" w:rsidP="000A43F9">
          <w:r>
            <w:rPr>
              <w:b/>
              <w:bCs/>
              <w:noProof/>
            </w:rPr>
            <w:fldChar w:fldCharType="end"/>
          </w:r>
        </w:p>
      </w:sdtContent>
    </w:sdt>
    <w:p w14:paraId="422A990F" w14:textId="77777777" w:rsidR="00EB2C8E" w:rsidRDefault="00EB2C8E" w:rsidP="00EB2C8E">
      <w:pPr>
        <w:spacing w:line="240" w:lineRule="auto"/>
        <w:rPr>
          <w:color w:val="A92530"/>
        </w:rPr>
      </w:pPr>
    </w:p>
    <w:p w14:paraId="61D9CCB3" w14:textId="5FB5F569" w:rsidR="001E0E1F" w:rsidRPr="00B21687" w:rsidRDefault="00BF500E" w:rsidP="00540DFE">
      <w:pPr>
        <w:pStyle w:val="Heading3"/>
        <w:numPr>
          <w:ilvl w:val="0"/>
          <w:numId w:val="1"/>
        </w:numPr>
        <w:rPr>
          <w:szCs w:val="28"/>
        </w:rPr>
      </w:pPr>
      <w:hyperlink r:id="rId11" w:tgtFrame="_new" w:tooltip="View this document (eLibrary ref #52402)" w:history="1">
        <w:bookmarkStart w:id="16" w:name="_Toc210990742"/>
        <w:r>
          <w:rPr>
            <w:rStyle w:val="Hyperlink"/>
            <w:rFonts w:ascii="Arial Black" w:hAnsi="Arial Black"/>
            <w:sz w:val="28"/>
            <w:szCs w:val="28"/>
          </w:rPr>
          <w:t>Introduction</w:t>
        </w:r>
        <w:bookmarkEnd w:id="16"/>
      </w:hyperlink>
    </w:p>
    <w:p w14:paraId="45F6E729" w14:textId="088191B5" w:rsidR="00BF500E" w:rsidRPr="00B82B3C" w:rsidRDefault="00BF500E" w:rsidP="00540DFE">
      <w:pPr>
        <w:pStyle w:val="ListParagraph"/>
        <w:numPr>
          <w:ilvl w:val="1"/>
          <w:numId w:val="1"/>
        </w:numPr>
        <w:spacing w:before="120" w:after="120" w:line="240" w:lineRule="auto"/>
        <w:rPr>
          <w:rFonts w:cs="Arial"/>
          <w:bCs/>
          <w:color w:val="393938"/>
        </w:rPr>
      </w:pPr>
      <w:r w:rsidRPr="00B82B3C">
        <w:rPr>
          <w:rFonts w:cs="Arial"/>
          <w:bCs/>
          <w:color w:val="393938"/>
        </w:rPr>
        <w:t xml:space="preserve">Cumbria Fire and Rescue Service (CFRS) is committed to safeguarding and promoting the welfare of children and vulnerable adults and expects all employees, volunteers and the Externally Provided Workforce (EPWs) to share this commitment. </w:t>
      </w:r>
    </w:p>
    <w:p w14:paraId="6E67A5EC" w14:textId="77777777" w:rsidR="00B82B3C" w:rsidRDefault="00B82B3C" w:rsidP="00B82B3C">
      <w:pPr>
        <w:pStyle w:val="ListParagraph"/>
        <w:spacing w:before="120" w:after="120" w:line="240" w:lineRule="auto"/>
        <w:ind w:left="1080"/>
        <w:rPr>
          <w:rFonts w:cs="Arial"/>
          <w:bCs/>
          <w:color w:val="393938"/>
        </w:rPr>
      </w:pPr>
    </w:p>
    <w:p w14:paraId="7DCE88E6" w14:textId="40380C13" w:rsidR="00B82B3C" w:rsidRPr="00B82B3C" w:rsidRDefault="00BF500E" w:rsidP="00540DFE">
      <w:pPr>
        <w:pStyle w:val="ListParagraph"/>
        <w:numPr>
          <w:ilvl w:val="1"/>
          <w:numId w:val="1"/>
        </w:numPr>
        <w:spacing w:before="120" w:after="120" w:line="240" w:lineRule="auto"/>
        <w:rPr>
          <w:rFonts w:cs="Arial"/>
          <w:bCs/>
          <w:color w:val="393938"/>
        </w:rPr>
      </w:pPr>
      <w:r w:rsidRPr="00B82B3C">
        <w:rPr>
          <w:rFonts w:cs="Arial"/>
          <w:bCs/>
          <w:color w:val="393938"/>
        </w:rPr>
        <w:t>This is reflected in the way we recruit, contract services, undertake our duties and address any safeguarding concerns which may arise. The purpose of this procedure is to ensure that those engaging in work for CFRS are aware of their responsibilities and expectations relating to:</w:t>
      </w:r>
    </w:p>
    <w:p w14:paraId="1D1892EE" w14:textId="4E8DB05B" w:rsidR="00BF500E" w:rsidRPr="00BF500E" w:rsidRDefault="00BF500E" w:rsidP="00540DFE">
      <w:pPr>
        <w:pStyle w:val="ListParagraph"/>
        <w:numPr>
          <w:ilvl w:val="0"/>
          <w:numId w:val="2"/>
        </w:numPr>
        <w:spacing w:before="120" w:line="240" w:lineRule="auto"/>
        <w:jc w:val="both"/>
        <w:rPr>
          <w:rFonts w:cs="Arial"/>
          <w:bCs/>
          <w:color w:val="393938"/>
        </w:rPr>
      </w:pPr>
      <w:r w:rsidRPr="00BF500E">
        <w:rPr>
          <w:rFonts w:cs="Arial"/>
          <w:bCs/>
          <w:color w:val="393938"/>
        </w:rPr>
        <w:t xml:space="preserve">Safe and fair recruitment, </w:t>
      </w:r>
    </w:p>
    <w:p w14:paraId="52C96FBA" w14:textId="207849ED" w:rsidR="00BF500E" w:rsidRPr="00BF500E" w:rsidRDefault="00BF500E" w:rsidP="00540DFE">
      <w:pPr>
        <w:pStyle w:val="ListParagraph"/>
        <w:numPr>
          <w:ilvl w:val="0"/>
          <w:numId w:val="2"/>
        </w:numPr>
        <w:spacing w:before="120" w:line="240" w:lineRule="auto"/>
        <w:jc w:val="both"/>
        <w:rPr>
          <w:rFonts w:cs="Arial"/>
          <w:bCs/>
          <w:color w:val="393938"/>
        </w:rPr>
      </w:pPr>
      <w:r w:rsidRPr="00BF500E">
        <w:rPr>
          <w:rFonts w:cs="Arial"/>
          <w:bCs/>
          <w:color w:val="393938"/>
        </w:rPr>
        <w:t>The Disclosure and Barring Service (DBS)</w:t>
      </w:r>
    </w:p>
    <w:p w14:paraId="14D0266A" w14:textId="167174EA" w:rsidR="00BF500E" w:rsidRPr="00BF500E" w:rsidRDefault="00BF500E" w:rsidP="00540DFE">
      <w:pPr>
        <w:pStyle w:val="ListParagraph"/>
        <w:numPr>
          <w:ilvl w:val="0"/>
          <w:numId w:val="2"/>
        </w:numPr>
        <w:spacing w:before="120" w:line="240" w:lineRule="auto"/>
        <w:jc w:val="both"/>
        <w:rPr>
          <w:rFonts w:cs="Arial"/>
          <w:bCs/>
          <w:color w:val="393938"/>
        </w:rPr>
      </w:pPr>
      <w:r w:rsidRPr="00BF500E">
        <w:rPr>
          <w:rFonts w:cs="Arial"/>
          <w:bCs/>
          <w:color w:val="393938"/>
        </w:rPr>
        <w:t xml:space="preserve">Safer employment </w:t>
      </w:r>
      <w:proofErr w:type="gramStart"/>
      <w:r w:rsidRPr="00BF500E">
        <w:rPr>
          <w:rFonts w:cs="Arial"/>
          <w:bCs/>
          <w:color w:val="393938"/>
        </w:rPr>
        <w:t>and;</w:t>
      </w:r>
      <w:proofErr w:type="gramEnd"/>
    </w:p>
    <w:p w14:paraId="65D96D96" w14:textId="620CA5F1" w:rsidR="00835F95" w:rsidRDefault="00BF500E" w:rsidP="00540DFE">
      <w:pPr>
        <w:pStyle w:val="ListParagraph"/>
        <w:numPr>
          <w:ilvl w:val="0"/>
          <w:numId w:val="2"/>
        </w:numPr>
        <w:spacing w:before="120" w:line="240" w:lineRule="auto"/>
        <w:jc w:val="both"/>
        <w:rPr>
          <w:rFonts w:cs="Arial"/>
          <w:bCs/>
          <w:color w:val="393938"/>
        </w:rPr>
      </w:pPr>
      <w:r w:rsidRPr="00BF500E">
        <w:rPr>
          <w:rFonts w:cs="Arial"/>
          <w:bCs/>
          <w:color w:val="393938"/>
        </w:rPr>
        <w:t xml:space="preserve">Matters arising due to criminal convictions, cautions, or an individual’s actions that may be the subject of a police investigation. </w:t>
      </w:r>
    </w:p>
    <w:p w14:paraId="303C543F" w14:textId="77777777" w:rsidR="00FD5ED5" w:rsidRPr="00FD5ED5" w:rsidRDefault="00FD5ED5" w:rsidP="00FD5ED5">
      <w:pPr>
        <w:pStyle w:val="ListParagraph"/>
        <w:spacing w:before="120" w:line="240" w:lineRule="auto"/>
        <w:ind w:left="1800"/>
        <w:jc w:val="both"/>
        <w:rPr>
          <w:rFonts w:cs="Arial"/>
          <w:bCs/>
          <w:color w:val="393938"/>
        </w:rPr>
      </w:pPr>
    </w:p>
    <w:p w14:paraId="097C1AAE" w14:textId="1599DF86" w:rsidR="00835F95" w:rsidRPr="00BF500E" w:rsidRDefault="00BF500E" w:rsidP="00540DFE">
      <w:pPr>
        <w:pStyle w:val="Heading3"/>
        <w:numPr>
          <w:ilvl w:val="0"/>
          <w:numId w:val="1"/>
        </w:numPr>
        <w:rPr>
          <w:rStyle w:val="Hyperlink"/>
          <w:rFonts w:ascii="Arial Black" w:hAnsi="Arial Black"/>
          <w:sz w:val="28"/>
          <w:szCs w:val="28"/>
        </w:rPr>
      </w:pPr>
      <w:bookmarkStart w:id="17" w:name="_Toc210990743"/>
      <w:r w:rsidRPr="00BF500E">
        <w:rPr>
          <w:rStyle w:val="Hyperlink"/>
          <w:rFonts w:ascii="Arial Black" w:hAnsi="Arial Black"/>
          <w:sz w:val="28"/>
          <w:szCs w:val="28"/>
        </w:rPr>
        <w:t>Scope</w:t>
      </w:r>
      <w:bookmarkEnd w:id="17"/>
      <w:r w:rsidRPr="00BF500E">
        <w:rPr>
          <w:rStyle w:val="Hyperlink"/>
          <w:rFonts w:ascii="Arial Black" w:hAnsi="Arial Black"/>
          <w:sz w:val="28"/>
          <w:szCs w:val="28"/>
        </w:rPr>
        <w:t xml:space="preserve"> </w:t>
      </w:r>
    </w:p>
    <w:p w14:paraId="207FEB7A" w14:textId="74B84D68" w:rsidR="00B82B3C" w:rsidRPr="00B82B3C" w:rsidRDefault="00BF500E" w:rsidP="00540DFE">
      <w:pPr>
        <w:pStyle w:val="ListParagraph"/>
        <w:numPr>
          <w:ilvl w:val="1"/>
          <w:numId w:val="1"/>
        </w:numPr>
        <w:spacing w:before="120" w:line="240" w:lineRule="auto"/>
        <w:rPr>
          <w:rFonts w:cs="Arial"/>
          <w:bCs/>
          <w:color w:val="393938"/>
        </w:rPr>
      </w:pPr>
      <w:r w:rsidRPr="00B82B3C">
        <w:rPr>
          <w:rFonts w:cs="Arial"/>
          <w:bCs/>
          <w:color w:val="393938"/>
        </w:rPr>
        <w:t>This procedure will apply to:</w:t>
      </w:r>
    </w:p>
    <w:p w14:paraId="511388DD" w14:textId="12C388B9" w:rsidR="00BF500E" w:rsidRPr="00BF500E" w:rsidRDefault="00BF500E" w:rsidP="00540DFE">
      <w:pPr>
        <w:pStyle w:val="ListParagraph"/>
        <w:numPr>
          <w:ilvl w:val="0"/>
          <w:numId w:val="2"/>
        </w:numPr>
        <w:spacing w:before="120" w:line="240" w:lineRule="auto"/>
        <w:rPr>
          <w:rFonts w:cs="Arial"/>
          <w:bCs/>
          <w:color w:val="393938"/>
        </w:rPr>
      </w:pPr>
      <w:r w:rsidRPr="00BF500E">
        <w:rPr>
          <w:rFonts w:cs="Arial"/>
          <w:bCs/>
          <w:color w:val="393938"/>
        </w:rPr>
        <w:t>All employees</w:t>
      </w:r>
    </w:p>
    <w:p w14:paraId="75766C7C" w14:textId="4E0C313A" w:rsidR="00BF500E" w:rsidRPr="00BF500E" w:rsidRDefault="00BF500E" w:rsidP="00540DFE">
      <w:pPr>
        <w:pStyle w:val="ListParagraph"/>
        <w:numPr>
          <w:ilvl w:val="0"/>
          <w:numId w:val="2"/>
        </w:numPr>
        <w:spacing w:before="120" w:line="240" w:lineRule="auto"/>
        <w:rPr>
          <w:rFonts w:cs="Arial"/>
          <w:bCs/>
          <w:color w:val="393938"/>
        </w:rPr>
      </w:pPr>
      <w:r w:rsidRPr="00BF500E">
        <w:rPr>
          <w:rFonts w:cs="Arial"/>
          <w:bCs/>
          <w:color w:val="393938"/>
        </w:rPr>
        <w:t>Volunteers or people on work experience</w:t>
      </w:r>
    </w:p>
    <w:p w14:paraId="5B2CC7F5" w14:textId="13BE96C6" w:rsidR="00BF500E" w:rsidRPr="00BF500E" w:rsidRDefault="00BF500E" w:rsidP="00540DFE">
      <w:pPr>
        <w:pStyle w:val="ListParagraph"/>
        <w:numPr>
          <w:ilvl w:val="0"/>
          <w:numId w:val="2"/>
        </w:numPr>
        <w:spacing w:before="120" w:line="240" w:lineRule="auto"/>
        <w:rPr>
          <w:rFonts w:cs="Arial"/>
          <w:bCs/>
          <w:color w:val="393938"/>
        </w:rPr>
      </w:pPr>
      <w:r w:rsidRPr="00BF500E">
        <w:rPr>
          <w:rFonts w:cs="Arial"/>
          <w:bCs/>
          <w:color w:val="393938"/>
        </w:rPr>
        <w:t>Candidates seeking paid work or volunteering opportunities</w:t>
      </w:r>
    </w:p>
    <w:p w14:paraId="5FFFE608" w14:textId="3EB342BD" w:rsidR="00BF500E" w:rsidRPr="00BF500E" w:rsidRDefault="00BF500E" w:rsidP="00540DFE">
      <w:pPr>
        <w:pStyle w:val="ListParagraph"/>
        <w:numPr>
          <w:ilvl w:val="0"/>
          <w:numId w:val="2"/>
        </w:numPr>
        <w:spacing w:before="120" w:line="240" w:lineRule="auto"/>
        <w:rPr>
          <w:rFonts w:cs="Arial"/>
          <w:bCs/>
          <w:color w:val="393938"/>
        </w:rPr>
      </w:pPr>
      <w:r w:rsidRPr="00BF500E">
        <w:rPr>
          <w:rFonts w:cs="Arial"/>
          <w:bCs/>
          <w:color w:val="393938"/>
        </w:rPr>
        <w:t>The externally provided workforce (EPW) and contractors</w:t>
      </w:r>
    </w:p>
    <w:p w14:paraId="7728AD8D" w14:textId="5C19B618" w:rsidR="00BF500E" w:rsidRDefault="00BF500E" w:rsidP="00540DFE">
      <w:pPr>
        <w:pStyle w:val="ListParagraph"/>
        <w:numPr>
          <w:ilvl w:val="0"/>
          <w:numId w:val="2"/>
        </w:numPr>
        <w:spacing w:before="120" w:line="240" w:lineRule="auto"/>
        <w:rPr>
          <w:rFonts w:cs="Arial"/>
          <w:bCs/>
          <w:color w:val="393938"/>
        </w:rPr>
      </w:pPr>
      <w:r w:rsidRPr="00BF500E">
        <w:rPr>
          <w:rFonts w:cs="Arial"/>
          <w:bCs/>
          <w:color w:val="393938"/>
        </w:rPr>
        <w:t>Elected members</w:t>
      </w:r>
    </w:p>
    <w:p w14:paraId="0C3959DB" w14:textId="77777777" w:rsidR="00BF500E" w:rsidRPr="00BF500E" w:rsidRDefault="00BF500E" w:rsidP="00BF500E">
      <w:pPr>
        <w:spacing w:before="120" w:line="240" w:lineRule="auto"/>
        <w:jc w:val="both"/>
        <w:rPr>
          <w:rFonts w:cs="Arial"/>
          <w:bCs/>
          <w:color w:val="393938"/>
        </w:rPr>
      </w:pPr>
    </w:p>
    <w:p w14:paraId="6A9D94E5" w14:textId="6FFF7838" w:rsidR="00835F95" w:rsidRPr="00BF500E" w:rsidRDefault="00BF500E" w:rsidP="00540DFE">
      <w:pPr>
        <w:pStyle w:val="Heading3"/>
        <w:numPr>
          <w:ilvl w:val="0"/>
          <w:numId w:val="1"/>
        </w:numPr>
        <w:rPr>
          <w:b w:val="0"/>
          <w:szCs w:val="28"/>
          <w:u w:val="single"/>
        </w:rPr>
      </w:pPr>
      <w:bookmarkStart w:id="18" w:name="_Toc210990744"/>
      <w:r w:rsidRPr="00BF500E">
        <w:rPr>
          <w:rStyle w:val="Hyperlink"/>
          <w:rFonts w:ascii="Arial Black" w:hAnsi="Arial Black"/>
          <w:sz w:val="28"/>
          <w:szCs w:val="28"/>
        </w:rPr>
        <w:t>Safe and Fair Recruitment</w:t>
      </w:r>
      <w:bookmarkEnd w:id="18"/>
    </w:p>
    <w:p w14:paraId="54C04665" w14:textId="77777777" w:rsidR="00B82B3C" w:rsidRDefault="00BF500E" w:rsidP="00540DFE">
      <w:pPr>
        <w:pStyle w:val="ListParagraph"/>
        <w:numPr>
          <w:ilvl w:val="1"/>
          <w:numId w:val="1"/>
        </w:numPr>
        <w:spacing w:before="120" w:after="120" w:line="240" w:lineRule="auto"/>
        <w:rPr>
          <w:rFonts w:cs="Arial"/>
          <w:bCs/>
          <w:color w:val="393938"/>
        </w:rPr>
      </w:pPr>
      <w:r w:rsidRPr="00B82B3C">
        <w:rPr>
          <w:rFonts w:cs="Arial"/>
          <w:bCs/>
          <w:color w:val="393938"/>
        </w:rPr>
        <w:t xml:space="preserve">Safe and fair recruitment is the first step to safeguarding and promoting the welfare of children and vulnerable adults. The purpose of a safe and fair recruitment process is to help identify and, where necessary, deter people who are unable to work in specific roles according to legislation. </w:t>
      </w:r>
    </w:p>
    <w:p w14:paraId="56F956D1" w14:textId="77777777" w:rsidR="00B82B3C" w:rsidRDefault="00B82B3C" w:rsidP="00B82B3C">
      <w:pPr>
        <w:pStyle w:val="ListParagraph"/>
        <w:spacing w:before="120" w:after="120" w:line="240" w:lineRule="auto"/>
        <w:ind w:left="1080"/>
        <w:rPr>
          <w:rFonts w:cs="Arial"/>
          <w:bCs/>
          <w:color w:val="393938"/>
        </w:rPr>
      </w:pPr>
    </w:p>
    <w:p w14:paraId="12AB43D7" w14:textId="77777777" w:rsidR="00B82B3C" w:rsidRDefault="00BF500E" w:rsidP="00540DFE">
      <w:pPr>
        <w:pStyle w:val="ListParagraph"/>
        <w:numPr>
          <w:ilvl w:val="1"/>
          <w:numId w:val="1"/>
        </w:numPr>
        <w:spacing w:before="120" w:after="120" w:line="240" w:lineRule="auto"/>
        <w:rPr>
          <w:rFonts w:cs="Arial"/>
          <w:bCs/>
          <w:color w:val="393938"/>
        </w:rPr>
      </w:pPr>
      <w:r w:rsidRPr="00B82B3C">
        <w:rPr>
          <w:rFonts w:cs="Arial"/>
          <w:bCs/>
          <w:color w:val="393938"/>
        </w:rPr>
        <w:t xml:space="preserve">The recruitment process outlined in the </w:t>
      </w:r>
      <w:r w:rsidRPr="00B82B3C">
        <w:rPr>
          <w:rFonts w:cs="Arial"/>
          <w:b/>
          <w:color w:val="C00000"/>
        </w:rPr>
        <w:t xml:space="preserve">Resourcing and Talent Guidance </w:t>
      </w:r>
      <w:r w:rsidRPr="00B82B3C">
        <w:rPr>
          <w:rFonts w:cs="Arial"/>
          <w:bCs/>
          <w:color w:val="393938"/>
        </w:rPr>
        <w:t xml:space="preserve">should always be followed. </w:t>
      </w:r>
    </w:p>
    <w:p w14:paraId="4F5645A7" w14:textId="77777777" w:rsidR="00B82B3C" w:rsidRPr="00B82B3C" w:rsidRDefault="00B82B3C" w:rsidP="00B82B3C">
      <w:pPr>
        <w:pStyle w:val="ListParagraph"/>
        <w:rPr>
          <w:rFonts w:cs="Arial"/>
          <w:bCs/>
          <w:color w:val="393938"/>
        </w:rPr>
      </w:pPr>
    </w:p>
    <w:p w14:paraId="78D11B0D" w14:textId="2CCEC012" w:rsidR="00835F95" w:rsidRPr="00B82B3C" w:rsidRDefault="00BF500E" w:rsidP="00540DFE">
      <w:pPr>
        <w:pStyle w:val="ListParagraph"/>
        <w:numPr>
          <w:ilvl w:val="1"/>
          <w:numId w:val="1"/>
        </w:numPr>
        <w:spacing w:before="120" w:after="120" w:line="240" w:lineRule="auto"/>
        <w:rPr>
          <w:rFonts w:cs="Arial"/>
          <w:bCs/>
          <w:color w:val="393938"/>
        </w:rPr>
      </w:pPr>
      <w:r w:rsidRPr="00B82B3C">
        <w:rPr>
          <w:rFonts w:cs="Arial"/>
          <w:bCs/>
          <w:color w:val="393938"/>
        </w:rPr>
        <w:t xml:space="preserve">Relevant pre-employment checks for the role should be received and deemed to be satisfactory before the individual starts work. Allowing an individual to start work without the necessary pre-employment clearances is a disciplinary matter. </w:t>
      </w:r>
      <w:r w:rsidR="00880092" w:rsidRPr="00B82B3C">
        <w:rPr>
          <w:rFonts w:cs="Arial"/>
          <w:bCs/>
          <w:color w:val="393938"/>
        </w:rPr>
        <w:t xml:space="preserve">Full information on the required pre-employment checks can be found in Section 12 of the </w:t>
      </w:r>
      <w:r w:rsidR="00880092" w:rsidRPr="00B82B3C">
        <w:rPr>
          <w:rFonts w:cs="Arial"/>
          <w:b/>
          <w:color w:val="C00000"/>
        </w:rPr>
        <w:t xml:space="preserve">Resourcing and Talent Guidance. </w:t>
      </w:r>
    </w:p>
    <w:p w14:paraId="0803C5BB" w14:textId="13C544CB" w:rsidR="00835F95" w:rsidRDefault="00835F95" w:rsidP="0064303C">
      <w:pPr>
        <w:spacing w:before="120" w:after="120" w:line="240" w:lineRule="auto"/>
        <w:jc w:val="both"/>
        <w:rPr>
          <w:rFonts w:cs="Arial"/>
          <w:bCs/>
          <w:color w:val="393938"/>
        </w:rPr>
      </w:pPr>
    </w:p>
    <w:p w14:paraId="52E4F5BA" w14:textId="148D3175" w:rsidR="00880092" w:rsidRDefault="00880092" w:rsidP="00540DFE">
      <w:pPr>
        <w:pStyle w:val="Heading3"/>
        <w:numPr>
          <w:ilvl w:val="0"/>
          <w:numId w:val="1"/>
        </w:numPr>
        <w:rPr>
          <w:rStyle w:val="Hyperlink"/>
          <w:rFonts w:ascii="Arial Black" w:hAnsi="Arial Black"/>
          <w:sz w:val="28"/>
          <w:szCs w:val="28"/>
        </w:rPr>
      </w:pPr>
      <w:bookmarkStart w:id="19" w:name="_Toc210990745"/>
      <w:r>
        <w:rPr>
          <w:rStyle w:val="Hyperlink"/>
          <w:rFonts w:ascii="Arial Black" w:hAnsi="Arial Black"/>
          <w:sz w:val="28"/>
          <w:szCs w:val="28"/>
        </w:rPr>
        <w:t>Rehabilitation of Offenders Act 1974 (ROA)</w:t>
      </w:r>
      <w:bookmarkEnd w:id="19"/>
      <w:r>
        <w:rPr>
          <w:rStyle w:val="Hyperlink"/>
          <w:rFonts w:ascii="Arial Black" w:hAnsi="Arial Black"/>
          <w:sz w:val="28"/>
          <w:szCs w:val="28"/>
        </w:rPr>
        <w:t xml:space="preserve"> </w:t>
      </w:r>
    </w:p>
    <w:p w14:paraId="5E6932A3" w14:textId="77777777" w:rsidR="00880092" w:rsidRDefault="00880092" w:rsidP="00880092"/>
    <w:p w14:paraId="077F0D49" w14:textId="64BA559F" w:rsidR="00962010" w:rsidRDefault="00962010" w:rsidP="00540DFE">
      <w:pPr>
        <w:pStyle w:val="ListParagraph"/>
        <w:numPr>
          <w:ilvl w:val="1"/>
          <w:numId w:val="1"/>
        </w:numPr>
        <w:rPr>
          <w:rFonts w:ascii="Arial Black" w:hAnsi="Arial Black"/>
          <w:b/>
          <w:bCs/>
          <w:color w:val="C00000"/>
        </w:rPr>
      </w:pPr>
      <w:r w:rsidRPr="00962010">
        <w:rPr>
          <w:rFonts w:ascii="Arial Black" w:hAnsi="Arial Black"/>
          <w:b/>
          <w:bCs/>
          <w:color w:val="C00000"/>
        </w:rPr>
        <w:t>Rehabilitation of Offenders Act 1974 </w:t>
      </w:r>
    </w:p>
    <w:p w14:paraId="7E5FF704" w14:textId="77777777" w:rsidR="00962010" w:rsidRPr="00962010" w:rsidRDefault="00962010" w:rsidP="00962010">
      <w:pPr>
        <w:pStyle w:val="ListParagraph"/>
        <w:ind w:left="1080"/>
        <w:rPr>
          <w:rFonts w:ascii="Arial Black" w:hAnsi="Arial Black"/>
          <w:b/>
          <w:bCs/>
          <w:color w:val="C00000"/>
        </w:rPr>
      </w:pPr>
    </w:p>
    <w:p w14:paraId="403B4A5E" w14:textId="2D7B7D61" w:rsidR="00962010" w:rsidRDefault="00962010" w:rsidP="00962010">
      <w:r w:rsidRPr="00962010">
        <w:rPr>
          <w:b/>
        </w:rPr>
        <w:lastRenderedPageBreak/>
        <w:t>The Rehabilitation of Offenders Act 1974</w:t>
      </w:r>
      <w:r w:rsidRPr="00962010">
        <w:t> (“1974 Act”) primarily exists to support the rehabilitation into employment of those with convictions who have ceased offending</w:t>
      </w:r>
      <w:r>
        <w:t xml:space="preserve">. </w:t>
      </w:r>
    </w:p>
    <w:p w14:paraId="71F716DC" w14:textId="77777777" w:rsidR="00962010" w:rsidRDefault="00962010" w:rsidP="00962010"/>
    <w:p w14:paraId="3591E968" w14:textId="332629D8" w:rsidR="00962010" w:rsidRDefault="00962010" w:rsidP="00962010">
      <w:r>
        <w:t xml:space="preserve">Under the ROA, eligible convictions or cautions become ‘spent’ after a specified period of time, </w:t>
      </w:r>
      <w:proofErr w:type="spellStart"/>
      <w:r>
        <w:t>know</w:t>
      </w:r>
      <w:proofErr w:type="spellEnd"/>
      <w:r>
        <w:t xml:space="preserve"> as the ‘rehabilitation period’. </w:t>
      </w:r>
    </w:p>
    <w:p w14:paraId="39B40A81" w14:textId="77777777" w:rsidR="00962010" w:rsidRDefault="00962010" w:rsidP="00962010"/>
    <w:p w14:paraId="4B03DAE4" w14:textId="77777777" w:rsidR="00962010" w:rsidRDefault="00962010" w:rsidP="00962010">
      <w:r>
        <w:t>The rehabilitation periods depend on:</w:t>
      </w:r>
    </w:p>
    <w:p w14:paraId="6DF14979" w14:textId="77777777" w:rsidR="00962010" w:rsidRDefault="00962010" w:rsidP="00962010"/>
    <w:p w14:paraId="5C9C8F55" w14:textId="77777777" w:rsidR="00962010" w:rsidRDefault="00962010" w:rsidP="00540DFE">
      <w:pPr>
        <w:pStyle w:val="ListParagraph"/>
        <w:numPr>
          <w:ilvl w:val="0"/>
          <w:numId w:val="3"/>
        </w:numPr>
      </w:pPr>
      <w:r>
        <w:t>the sentence given or disposal administered as a result of a conviction</w:t>
      </w:r>
    </w:p>
    <w:p w14:paraId="7D338AC3" w14:textId="77777777" w:rsidR="00962010" w:rsidRDefault="00962010" w:rsidP="00540DFE">
      <w:pPr>
        <w:pStyle w:val="ListParagraph"/>
        <w:numPr>
          <w:ilvl w:val="0"/>
          <w:numId w:val="3"/>
        </w:numPr>
      </w:pPr>
      <w:r>
        <w:t>the age of the individual on the date they are convicted</w:t>
      </w:r>
    </w:p>
    <w:p w14:paraId="25B43251" w14:textId="77777777" w:rsidR="00962010" w:rsidRDefault="00962010" w:rsidP="00962010"/>
    <w:p w14:paraId="4DC61BB4" w14:textId="5A200EEC" w:rsidR="00962010" w:rsidRDefault="00962010" w:rsidP="00962010">
      <w:r w:rsidRPr="00962010">
        <w:t>Where a conviction has become spent, the individual is treated as rehabilitated in respect of that offence and is not obliged to declare it for most purposes, for example, when applying for most jobs or insurance, some educational courses</w:t>
      </w:r>
      <w:r w:rsidR="00B82B3C">
        <w:t>,</w:t>
      </w:r>
      <w:r w:rsidRPr="00962010">
        <w:t xml:space="preserve"> and housing applications.</w:t>
      </w:r>
    </w:p>
    <w:p w14:paraId="58C9C992" w14:textId="77777777" w:rsidR="00962010" w:rsidRDefault="00962010" w:rsidP="00962010"/>
    <w:p w14:paraId="69856D6A" w14:textId="77777777" w:rsidR="00962010" w:rsidRDefault="00962010" w:rsidP="00880092">
      <w:r w:rsidRPr="00962010">
        <w:t>Someone with a spent conviction shall be treated for all purposes in law as a person who has not been convicted of the offence which was the subject of that conviction.</w:t>
      </w:r>
    </w:p>
    <w:p w14:paraId="724B08D1" w14:textId="77777777" w:rsidR="00962010" w:rsidRDefault="00962010" w:rsidP="00880092"/>
    <w:p w14:paraId="253D775D" w14:textId="304775C1" w:rsidR="00962010" w:rsidRDefault="00962010" w:rsidP="00880092">
      <w:r w:rsidRPr="00962010">
        <w:t>The 1974 Act covers simple cautions (which become spent immediately) and conditional cautions (which become spent after three months).</w:t>
      </w:r>
    </w:p>
    <w:p w14:paraId="4EAA2D05" w14:textId="77777777" w:rsidR="00962010" w:rsidRDefault="00962010" w:rsidP="00880092"/>
    <w:p w14:paraId="6C8C153F" w14:textId="5D958BC2" w:rsidR="00962010" w:rsidRDefault="00962010" w:rsidP="00880092">
      <w:r w:rsidRPr="00962010">
        <w:t>Fixed Penalty Notices and Penalty Notices for Disorder do not constitute a conviction or caution (and are therefore not covered by the 1974 Act. They may, however, be recorded on local police systems should the relevant police force consider it necessary to do so.</w:t>
      </w:r>
    </w:p>
    <w:p w14:paraId="728D7ECE" w14:textId="77777777" w:rsidR="00962010" w:rsidRDefault="00962010" w:rsidP="00880092"/>
    <w:p w14:paraId="6333E509" w14:textId="4F23CB35" w:rsidR="00962010" w:rsidRDefault="00962010" w:rsidP="00880092">
      <w:r w:rsidRPr="00962010">
        <w:t xml:space="preserve">The following sentences are exempt from the 1974 Act and can </w:t>
      </w:r>
      <w:r w:rsidRPr="00B82B3C">
        <w:rPr>
          <w:b/>
          <w:bCs/>
        </w:rPr>
        <w:t>never</w:t>
      </w:r>
      <w:r w:rsidRPr="00962010">
        <w:t xml:space="preserve"> become spent:</w:t>
      </w:r>
    </w:p>
    <w:p w14:paraId="5A8D5E3A" w14:textId="0EFF0393" w:rsidR="00962010" w:rsidRPr="00962010" w:rsidRDefault="00962010" w:rsidP="00540DFE">
      <w:pPr>
        <w:pStyle w:val="ListParagraph"/>
        <w:numPr>
          <w:ilvl w:val="0"/>
          <w:numId w:val="6"/>
        </w:numPr>
      </w:pPr>
      <w:r w:rsidRPr="00962010">
        <w:t>Sentence of imprisonment for life.</w:t>
      </w:r>
    </w:p>
    <w:p w14:paraId="7C64BED8" w14:textId="0B98AA5E" w:rsidR="00962010" w:rsidRPr="00962010" w:rsidRDefault="00962010" w:rsidP="00540DFE">
      <w:pPr>
        <w:pStyle w:val="ListParagraph"/>
        <w:numPr>
          <w:ilvl w:val="0"/>
          <w:numId w:val="6"/>
        </w:numPr>
      </w:pPr>
      <w:r w:rsidRPr="00962010">
        <w:t>Sentence of imprisonment, sentence of detention for youth detention in a young offender institution or corrective training of over 4 years for serious violent, sexual, or terrorist offences.</w:t>
      </w:r>
    </w:p>
    <w:p w14:paraId="3FFA5443" w14:textId="49E34F5E" w:rsidR="00962010" w:rsidRPr="00962010" w:rsidRDefault="00962010" w:rsidP="00540DFE">
      <w:pPr>
        <w:pStyle w:val="ListParagraph"/>
        <w:numPr>
          <w:ilvl w:val="0"/>
          <w:numId w:val="6"/>
        </w:numPr>
      </w:pPr>
      <w:r w:rsidRPr="00962010">
        <w:t>Sentence of preventive detention.</w:t>
      </w:r>
    </w:p>
    <w:p w14:paraId="017F687C" w14:textId="25CCDB97" w:rsidR="00962010" w:rsidRPr="00962010" w:rsidRDefault="00962010" w:rsidP="00540DFE">
      <w:pPr>
        <w:pStyle w:val="ListParagraph"/>
        <w:numPr>
          <w:ilvl w:val="0"/>
          <w:numId w:val="6"/>
        </w:numPr>
      </w:pPr>
      <w:r w:rsidRPr="00962010">
        <w:t>Sentence of detention during His Majesty’s pleasure or for life.</w:t>
      </w:r>
    </w:p>
    <w:p w14:paraId="0FD7FDDE" w14:textId="14A64CEC" w:rsidR="00962010" w:rsidRPr="00962010" w:rsidRDefault="00962010" w:rsidP="00540DFE">
      <w:pPr>
        <w:pStyle w:val="ListParagraph"/>
        <w:numPr>
          <w:ilvl w:val="0"/>
          <w:numId w:val="6"/>
        </w:numPr>
      </w:pPr>
      <w:r w:rsidRPr="00962010">
        <w:t>Sentence of custody for life.</w:t>
      </w:r>
    </w:p>
    <w:p w14:paraId="6C32F68D" w14:textId="6DE9CA47" w:rsidR="00962010" w:rsidRPr="00962010" w:rsidRDefault="00962010" w:rsidP="00540DFE">
      <w:pPr>
        <w:pStyle w:val="ListParagraph"/>
        <w:numPr>
          <w:ilvl w:val="0"/>
          <w:numId w:val="6"/>
        </w:numPr>
      </w:pPr>
      <w:r w:rsidRPr="00962010">
        <w:t>Public protection sentences (imprisonment for public protection, detention for public protection, extended sentences of imprisonment or detention for public protection and extended determinate sentences for dangerous offenders).</w:t>
      </w:r>
    </w:p>
    <w:p w14:paraId="228F37EE" w14:textId="77777777" w:rsidR="00962010" w:rsidRPr="000A43F9" w:rsidRDefault="00962010" w:rsidP="000A43F9">
      <w:pPr>
        <w:rPr>
          <w:rFonts w:ascii="Arial Black" w:hAnsi="Arial Black"/>
          <w:b/>
          <w:bCs/>
          <w:color w:val="C00000"/>
        </w:rPr>
      </w:pPr>
    </w:p>
    <w:p w14:paraId="55CB90F3" w14:textId="28A8DAA4" w:rsidR="00962010" w:rsidRDefault="00962010" w:rsidP="00540DFE">
      <w:pPr>
        <w:pStyle w:val="ListParagraph"/>
        <w:numPr>
          <w:ilvl w:val="1"/>
          <w:numId w:val="1"/>
        </w:numPr>
        <w:rPr>
          <w:rFonts w:ascii="Arial Black" w:hAnsi="Arial Black"/>
          <w:b/>
          <w:bCs/>
          <w:color w:val="C00000"/>
        </w:rPr>
      </w:pPr>
      <w:r>
        <w:rPr>
          <w:rFonts w:ascii="Arial Black" w:hAnsi="Arial Black"/>
          <w:b/>
          <w:bCs/>
          <w:color w:val="C00000"/>
        </w:rPr>
        <w:t>Criminal Records and Rehabilitation periods</w:t>
      </w:r>
    </w:p>
    <w:p w14:paraId="4193BB9A" w14:textId="77777777" w:rsidR="00962010" w:rsidRDefault="00962010" w:rsidP="00962010">
      <w:pPr>
        <w:rPr>
          <w:rFonts w:ascii="Arial Black" w:hAnsi="Arial Black"/>
          <w:b/>
          <w:bCs/>
          <w:color w:val="C00000"/>
        </w:rPr>
      </w:pPr>
    </w:p>
    <w:p w14:paraId="306DC168" w14:textId="77777777" w:rsidR="00962010" w:rsidRDefault="00962010" w:rsidP="00962010">
      <w:r w:rsidRPr="00962010">
        <w:t>A “criminal record” is created on the Police National Computer (PNC) and can include a person’s criminal convictions, cautions and other relevant information.</w:t>
      </w:r>
    </w:p>
    <w:p w14:paraId="381B52C4" w14:textId="77777777" w:rsidR="00962010" w:rsidRDefault="00962010" w:rsidP="00962010"/>
    <w:p w14:paraId="6B75EAFC" w14:textId="7DA18294" w:rsidR="00962010" w:rsidRPr="00962010" w:rsidRDefault="00962010" w:rsidP="00962010">
      <w:r w:rsidRPr="00962010">
        <w:t>Details of all recordable offences are kept on the PNC until the individual is 100 years old and can be accessed by the police. This does not mean that they will be disclosed as part of a criminal record check or require an individual to disclose if the conviction is regarded as spent.</w:t>
      </w:r>
    </w:p>
    <w:p w14:paraId="1C12CBCB" w14:textId="77777777" w:rsidR="00962010" w:rsidRPr="00962010" w:rsidRDefault="00962010" w:rsidP="00962010">
      <w:pPr>
        <w:rPr>
          <w:rFonts w:ascii="Arial Black" w:hAnsi="Arial Black"/>
          <w:b/>
          <w:bCs/>
          <w:color w:val="C00000"/>
        </w:rPr>
      </w:pPr>
    </w:p>
    <w:p w14:paraId="12AEA911" w14:textId="429444D9" w:rsidR="00962010" w:rsidRDefault="00962010" w:rsidP="00540DFE">
      <w:pPr>
        <w:pStyle w:val="ListParagraph"/>
        <w:numPr>
          <w:ilvl w:val="1"/>
          <w:numId w:val="1"/>
        </w:numPr>
        <w:rPr>
          <w:rFonts w:ascii="Arial Black" w:hAnsi="Arial Black"/>
          <w:b/>
          <w:bCs/>
          <w:color w:val="C00000"/>
        </w:rPr>
      </w:pPr>
      <w:r w:rsidRPr="00962010">
        <w:rPr>
          <w:rFonts w:ascii="Arial Black" w:hAnsi="Arial Black"/>
          <w:b/>
          <w:bCs/>
          <w:color w:val="C00000"/>
        </w:rPr>
        <w:t>Rehabilitation of Offenders Act 1974 (Exceptions) Order 1975 </w:t>
      </w:r>
    </w:p>
    <w:p w14:paraId="5A022028" w14:textId="77777777" w:rsidR="00962010" w:rsidRPr="00962010" w:rsidRDefault="00962010" w:rsidP="00962010"/>
    <w:p w14:paraId="05ED3373" w14:textId="0AD01760" w:rsidR="00962010" w:rsidRDefault="00962010" w:rsidP="00962010">
      <w:r w:rsidRPr="00962010">
        <w:t>The Rehabilitation of Offenders Act 1974 (Exceptions) Order 1975 establishes exceptions to thegeneral rule that individuals with spent convictions do not need to disclose their criminal record</w:t>
      </w:r>
      <w:r>
        <w:t>.</w:t>
      </w:r>
    </w:p>
    <w:p w14:paraId="38435992" w14:textId="77777777" w:rsidR="00962010" w:rsidRDefault="00962010" w:rsidP="00962010"/>
    <w:p w14:paraId="214C3789" w14:textId="4E42381A" w:rsidR="00962010" w:rsidRDefault="00962010" w:rsidP="00962010">
      <w:r w:rsidRPr="00962010">
        <w:t>This order is crucial for ensuring that certain professions and roles can assess the suitability of</w:t>
      </w:r>
      <w:r>
        <w:t xml:space="preserve"> c</w:t>
      </w:r>
      <w:r w:rsidRPr="00962010">
        <w:t>andidates with past convictions, particularly in sensitive areas such as security, healthcare,</w:t>
      </w:r>
      <w:r>
        <w:t xml:space="preserve"> and </w:t>
      </w:r>
      <w:r w:rsidRPr="00962010">
        <w:t>education.</w:t>
      </w:r>
    </w:p>
    <w:p w14:paraId="09532367" w14:textId="77777777" w:rsidR="00962010" w:rsidRDefault="00962010" w:rsidP="00962010"/>
    <w:p w14:paraId="7265AE4A" w14:textId="253426E9" w:rsidR="00962010" w:rsidRPr="00962010" w:rsidRDefault="002D7DF5" w:rsidP="00962010">
      <w:r w:rsidRPr="002D7DF5">
        <w:t>Where the Exceptions Order applies this will usually be indicated in the job advert for the role by stating that a ‘standard’ or ‘enhanced’ DBS criminal record check may be required</w:t>
      </w:r>
      <w:r>
        <w:t xml:space="preserve">. </w:t>
      </w:r>
      <w:r w:rsidRPr="002D7DF5">
        <w:t> In these circumstances an applicant will be required to list all cautions and convictions, including those that are spent, unless for the purposes of the job or activity they are considered ‘protected’</w:t>
      </w:r>
      <w:r>
        <w:t xml:space="preserve">. </w:t>
      </w:r>
    </w:p>
    <w:p w14:paraId="1206B82D" w14:textId="77777777" w:rsidR="00962010" w:rsidRDefault="00962010" w:rsidP="00962010">
      <w:pPr>
        <w:rPr>
          <w:rFonts w:ascii="Arial Black" w:hAnsi="Arial Black"/>
          <w:b/>
          <w:bCs/>
          <w:color w:val="C00000"/>
        </w:rPr>
      </w:pPr>
    </w:p>
    <w:p w14:paraId="1E869F47" w14:textId="4372BC12" w:rsidR="002D7DF5" w:rsidRDefault="002D7DF5" w:rsidP="00962010">
      <w:r>
        <w:t>T</w:t>
      </w:r>
      <w:r w:rsidRPr="002D7DF5">
        <w:t>he jobs and activities listed in the Exceptions Order mainly relate to particularly sensitive areas</w:t>
      </w:r>
      <w:r>
        <w:t>,</w:t>
      </w:r>
      <w:r w:rsidRPr="002D7DF5">
        <w:t xml:space="preserve"> such as work with children or health and social care, work in law enforcement and the legal system, and high-level financial positions. Exceptions also apply to certain certificates and licences (such as a firearms certificate) and to certain proceedings (such as those connected with admission to certain regulated professions).</w:t>
      </w:r>
    </w:p>
    <w:p w14:paraId="2899DC72" w14:textId="77777777" w:rsidR="002D7DF5" w:rsidRDefault="002D7DF5" w:rsidP="00962010"/>
    <w:p w14:paraId="7E1832EB" w14:textId="4B014401" w:rsidR="002D7DF5" w:rsidRDefault="002D7DF5" w:rsidP="00962010">
      <w:r w:rsidRPr="002D7DF5">
        <w:t xml:space="preserve">Due to the inclusion of fire and rescue authority employees in the Rehabilitation of Offenders Act (Exceptions) Order 1975; eligibility for a Standard Level of DBS check is available for all who work or volunteer for fire and rescue authorities. </w:t>
      </w:r>
    </w:p>
    <w:p w14:paraId="6CFFD50D" w14:textId="77777777" w:rsidR="002D7DF5" w:rsidRDefault="002D7DF5" w:rsidP="00962010"/>
    <w:p w14:paraId="045F42D1" w14:textId="3CA0C9A0" w:rsidR="002D7DF5" w:rsidRDefault="002D7DF5" w:rsidP="00962010">
      <w:r w:rsidRPr="002D7DF5">
        <w:t>However, depending on activities undertaken by those working for fire and rescue authorities, the frequency of those activities and risk assessment undertaken by the authority, there may be some discretion for employees to be eligible for Enhanced levels of DBS checks (with or without Barred List checks).</w:t>
      </w:r>
    </w:p>
    <w:p w14:paraId="5C328A19" w14:textId="77777777" w:rsidR="002D7DF5" w:rsidRDefault="002D7DF5" w:rsidP="00962010"/>
    <w:p w14:paraId="112997F8" w14:textId="0F55E976" w:rsidR="002D7DF5" w:rsidRDefault="002D7DF5" w:rsidP="00962010">
      <w:r>
        <w:t xml:space="preserve">The eligibility of the level of check will always be included on the Post Specification for that job role. </w:t>
      </w:r>
    </w:p>
    <w:p w14:paraId="46C3C5A8" w14:textId="77777777" w:rsidR="002D7DF5" w:rsidRDefault="002D7DF5" w:rsidP="00962010"/>
    <w:p w14:paraId="311D0B45" w14:textId="33F28D76" w:rsidR="002D7DF5" w:rsidRDefault="002D7DF5" w:rsidP="00962010">
      <w:pPr>
        <w:rPr>
          <w:b/>
          <w:bCs/>
        </w:rPr>
      </w:pPr>
      <w:r w:rsidRPr="002D7DF5">
        <w:rPr>
          <w:b/>
          <w:bCs/>
        </w:rPr>
        <w:t>Reminder:</w:t>
      </w:r>
      <w:r>
        <w:t xml:space="preserve"> </w:t>
      </w:r>
      <w:r w:rsidRPr="002D7DF5">
        <w:rPr>
          <w:b/>
          <w:bCs/>
        </w:rPr>
        <w:t xml:space="preserve">DBS checks are for the role, not the individual. </w:t>
      </w:r>
    </w:p>
    <w:p w14:paraId="798B4AC8" w14:textId="77777777" w:rsidR="002D7DF5" w:rsidRDefault="002D7DF5" w:rsidP="00962010">
      <w:pPr>
        <w:rPr>
          <w:b/>
          <w:bCs/>
        </w:rPr>
      </w:pPr>
    </w:p>
    <w:p w14:paraId="516E6023" w14:textId="530662AB" w:rsidR="002D7DF5" w:rsidRPr="002D7DF5" w:rsidRDefault="002D7DF5" w:rsidP="00540DFE">
      <w:pPr>
        <w:pStyle w:val="Heading3"/>
        <w:numPr>
          <w:ilvl w:val="0"/>
          <w:numId w:val="1"/>
        </w:numPr>
        <w:rPr>
          <w:rStyle w:val="Hyperlink"/>
          <w:rFonts w:ascii="Arial Black" w:hAnsi="Arial Black"/>
          <w:sz w:val="28"/>
          <w:szCs w:val="28"/>
        </w:rPr>
      </w:pPr>
      <w:bookmarkStart w:id="20" w:name="_Toc210990746"/>
      <w:r w:rsidRPr="002D7DF5">
        <w:rPr>
          <w:rStyle w:val="Hyperlink"/>
          <w:rFonts w:ascii="Arial Black" w:hAnsi="Arial Black"/>
          <w:b/>
          <w:sz w:val="28"/>
          <w:szCs w:val="28"/>
        </w:rPr>
        <w:t>Disclosure and Barring Service and DBS Checks</w:t>
      </w:r>
      <w:bookmarkEnd w:id="20"/>
      <w:r w:rsidRPr="002D7DF5">
        <w:rPr>
          <w:rStyle w:val="Hyperlink"/>
          <w:rFonts w:ascii="Arial Black" w:hAnsi="Arial Black"/>
          <w:b/>
          <w:sz w:val="28"/>
          <w:szCs w:val="28"/>
        </w:rPr>
        <w:t xml:space="preserve"> </w:t>
      </w:r>
    </w:p>
    <w:p w14:paraId="129EE3A7" w14:textId="77777777" w:rsidR="004D4839" w:rsidRDefault="004D4839" w:rsidP="00880092"/>
    <w:p w14:paraId="5A7DCCD4" w14:textId="6974CCDB" w:rsidR="004D4839" w:rsidRPr="004D4839" w:rsidRDefault="004D4839" w:rsidP="00540DFE">
      <w:pPr>
        <w:pStyle w:val="ListParagraph"/>
        <w:numPr>
          <w:ilvl w:val="1"/>
          <w:numId w:val="1"/>
        </w:numPr>
        <w:rPr>
          <w:rFonts w:ascii="Arial Black" w:hAnsi="Arial Black"/>
          <w:b/>
          <w:bCs/>
          <w:color w:val="C00000"/>
        </w:rPr>
      </w:pPr>
      <w:r w:rsidRPr="004D4839">
        <w:rPr>
          <w:rFonts w:ascii="Arial Black" w:hAnsi="Arial Black"/>
          <w:b/>
          <w:bCs/>
          <w:color w:val="C00000"/>
        </w:rPr>
        <w:t>Disclosure and Barring Service</w:t>
      </w:r>
    </w:p>
    <w:p w14:paraId="4756D6A2" w14:textId="77777777" w:rsidR="004D4839" w:rsidRPr="004D4839" w:rsidRDefault="004D4839" w:rsidP="004D4839">
      <w:pPr>
        <w:pStyle w:val="ListParagraph"/>
        <w:ind w:left="1080"/>
        <w:rPr>
          <w:rFonts w:ascii="Arial Black" w:hAnsi="Arial Black"/>
          <w:b/>
          <w:bCs/>
          <w:color w:val="C00000"/>
        </w:rPr>
      </w:pPr>
    </w:p>
    <w:p w14:paraId="54BB62FD" w14:textId="429D6C7D" w:rsidR="00880092" w:rsidRDefault="00E41E5A" w:rsidP="00E41E5A">
      <w:r>
        <w:t>The Disclosure and Barring Service (DBS) helps employers make safer recruitment decisions by processing and issuing DBS checks for England and Wales. DBS also maintains the Adults’ and Children’s Barred Lists and makes considered decisions as to whether an individual should be included on one or both of these lists and barred from engaging in regulated activity.</w:t>
      </w:r>
    </w:p>
    <w:p w14:paraId="4DE0ED6F" w14:textId="77777777" w:rsidR="004D4839" w:rsidRDefault="004D4839" w:rsidP="00E41E5A"/>
    <w:p w14:paraId="0DD4461E" w14:textId="26063086" w:rsidR="004D4839" w:rsidRPr="004D4839" w:rsidRDefault="004D4839" w:rsidP="00540DFE">
      <w:pPr>
        <w:pStyle w:val="ListParagraph"/>
        <w:numPr>
          <w:ilvl w:val="1"/>
          <w:numId w:val="1"/>
        </w:numPr>
        <w:rPr>
          <w:rFonts w:ascii="Arial Black" w:hAnsi="Arial Black"/>
          <w:b/>
          <w:bCs/>
          <w:color w:val="C00000"/>
        </w:rPr>
      </w:pPr>
      <w:r w:rsidRPr="004D4839">
        <w:rPr>
          <w:rFonts w:ascii="Arial Black" w:hAnsi="Arial Black"/>
          <w:b/>
          <w:bCs/>
          <w:color w:val="C00000"/>
        </w:rPr>
        <w:lastRenderedPageBreak/>
        <w:t>Types of Checks</w:t>
      </w:r>
    </w:p>
    <w:p w14:paraId="08E73B28" w14:textId="77777777" w:rsidR="004D4839" w:rsidRDefault="004D4839" w:rsidP="00E41E5A"/>
    <w:p w14:paraId="5B898769" w14:textId="77777777" w:rsidR="004D4839" w:rsidRDefault="004D4839" w:rsidP="00E41E5A">
      <w:r w:rsidRPr="004D4839">
        <w:t>There are four types of DBS check, and each type results in a DBS certificate being issued to an individual. Employers can then ask to see the certificate to ensure that they can consider proportionate risk mitigation measures, where necessary.</w:t>
      </w:r>
    </w:p>
    <w:p w14:paraId="5358B538" w14:textId="77777777" w:rsidR="004D4839" w:rsidRDefault="004D4839" w:rsidP="00E41E5A"/>
    <w:p w14:paraId="65D2BD03" w14:textId="461CA0FC" w:rsidR="004D4839" w:rsidRDefault="004D4839" w:rsidP="00E41E5A">
      <w:r>
        <w:t>Please see the below table for the type of check and relevant information:</w:t>
      </w:r>
    </w:p>
    <w:p w14:paraId="12354086" w14:textId="77777777" w:rsidR="004D4839" w:rsidRDefault="004D4839" w:rsidP="00E41E5A"/>
    <w:tbl>
      <w:tblPr>
        <w:tblStyle w:val="TableGrid"/>
        <w:tblW w:w="0" w:type="auto"/>
        <w:tblLook w:val="04A0" w:firstRow="1" w:lastRow="0" w:firstColumn="1" w:lastColumn="0" w:noHBand="0" w:noVBand="1"/>
      </w:tblPr>
      <w:tblGrid>
        <w:gridCol w:w="3398"/>
        <w:gridCol w:w="3398"/>
        <w:gridCol w:w="3398"/>
      </w:tblGrid>
      <w:tr w:rsidR="004D4839" w14:paraId="33B89705" w14:textId="77777777" w:rsidTr="004D4839">
        <w:tc>
          <w:tcPr>
            <w:tcW w:w="3398" w:type="dxa"/>
          </w:tcPr>
          <w:p w14:paraId="3E8B8356" w14:textId="5DC2526C" w:rsidR="004D4839" w:rsidRPr="004D4839" w:rsidRDefault="004D4839" w:rsidP="004D4839">
            <w:pPr>
              <w:jc w:val="center"/>
              <w:rPr>
                <w:b/>
                <w:bCs/>
                <w:color w:val="C00000"/>
              </w:rPr>
            </w:pPr>
            <w:r w:rsidRPr="004D4839">
              <w:rPr>
                <w:b/>
                <w:bCs/>
                <w:color w:val="C00000"/>
              </w:rPr>
              <w:t>Type of Check</w:t>
            </w:r>
          </w:p>
        </w:tc>
        <w:tc>
          <w:tcPr>
            <w:tcW w:w="3398" w:type="dxa"/>
          </w:tcPr>
          <w:p w14:paraId="093A53A3" w14:textId="7356C461" w:rsidR="004D4839" w:rsidRPr="004D4839" w:rsidRDefault="004D4839" w:rsidP="004D4839">
            <w:pPr>
              <w:jc w:val="center"/>
              <w:rPr>
                <w:b/>
                <w:bCs/>
                <w:color w:val="C00000"/>
              </w:rPr>
            </w:pPr>
            <w:r w:rsidRPr="004D4839">
              <w:rPr>
                <w:b/>
                <w:bCs/>
                <w:color w:val="C00000"/>
              </w:rPr>
              <w:t>Conviction and Caution Information Included</w:t>
            </w:r>
          </w:p>
        </w:tc>
        <w:tc>
          <w:tcPr>
            <w:tcW w:w="3398" w:type="dxa"/>
          </w:tcPr>
          <w:p w14:paraId="1DA73C14" w14:textId="0AF095F7" w:rsidR="004D4839" w:rsidRPr="004D4839" w:rsidRDefault="004D4839" w:rsidP="004D4839">
            <w:pPr>
              <w:jc w:val="center"/>
              <w:rPr>
                <w:b/>
                <w:bCs/>
                <w:color w:val="C00000"/>
              </w:rPr>
            </w:pPr>
            <w:r w:rsidRPr="004D4839">
              <w:rPr>
                <w:b/>
                <w:bCs/>
                <w:color w:val="C00000"/>
              </w:rPr>
              <w:t>Relevant Police Intelligence Included</w:t>
            </w:r>
          </w:p>
        </w:tc>
      </w:tr>
      <w:tr w:rsidR="004D4839" w14:paraId="7F42CD5E" w14:textId="77777777" w:rsidTr="004D4839">
        <w:tc>
          <w:tcPr>
            <w:tcW w:w="3398" w:type="dxa"/>
          </w:tcPr>
          <w:p w14:paraId="4B8666CB" w14:textId="461A4F3C" w:rsidR="004D4839" w:rsidRDefault="004D4839" w:rsidP="00E41E5A">
            <w:r>
              <w:t>Basic</w:t>
            </w:r>
          </w:p>
        </w:tc>
        <w:tc>
          <w:tcPr>
            <w:tcW w:w="3398" w:type="dxa"/>
          </w:tcPr>
          <w:p w14:paraId="7E225AA0" w14:textId="79B8E73F" w:rsidR="004D4839" w:rsidRDefault="004D4839" w:rsidP="004D4839">
            <w:pPr>
              <w:tabs>
                <w:tab w:val="left" w:pos="2428"/>
              </w:tabs>
            </w:pPr>
            <w:r w:rsidRPr="004D4839">
              <w:t>Unspent ONLY</w:t>
            </w:r>
          </w:p>
        </w:tc>
        <w:tc>
          <w:tcPr>
            <w:tcW w:w="3398" w:type="dxa"/>
          </w:tcPr>
          <w:p w14:paraId="06FBA703" w14:textId="0330C2B2" w:rsidR="004D4839" w:rsidRDefault="00E842A5" w:rsidP="00E41E5A">
            <w:r>
              <w:t>No</w:t>
            </w:r>
          </w:p>
        </w:tc>
      </w:tr>
      <w:tr w:rsidR="004D4839" w14:paraId="64307431" w14:textId="77777777" w:rsidTr="004D4839">
        <w:tc>
          <w:tcPr>
            <w:tcW w:w="3398" w:type="dxa"/>
          </w:tcPr>
          <w:p w14:paraId="40CD8097" w14:textId="70ECCC0F" w:rsidR="004D4839" w:rsidRDefault="004D4839" w:rsidP="00E41E5A">
            <w:r>
              <w:t>Standard</w:t>
            </w:r>
          </w:p>
        </w:tc>
        <w:tc>
          <w:tcPr>
            <w:tcW w:w="3398" w:type="dxa"/>
          </w:tcPr>
          <w:p w14:paraId="26CAFAFF" w14:textId="36F99496" w:rsidR="004D4839" w:rsidRDefault="00E842A5" w:rsidP="00E41E5A">
            <w:r>
              <w:t>Spent and Unspent (subject to filtering)</w:t>
            </w:r>
          </w:p>
        </w:tc>
        <w:tc>
          <w:tcPr>
            <w:tcW w:w="3398" w:type="dxa"/>
          </w:tcPr>
          <w:p w14:paraId="540BCFD1" w14:textId="0C622871" w:rsidR="004D4839" w:rsidRDefault="00E842A5" w:rsidP="00E41E5A">
            <w:r>
              <w:t>No</w:t>
            </w:r>
          </w:p>
        </w:tc>
      </w:tr>
      <w:tr w:rsidR="004D4839" w14:paraId="64232465" w14:textId="77777777" w:rsidTr="004D4839">
        <w:tc>
          <w:tcPr>
            <w:tcW w:w="3398" w:type="dxa"/>
          </w:tcPr>
          <w:p w14:paraId="31E671E4" w14:textId="312AEDED" w:rsidR="004D4839" w:rsidRDefault="004D4839" w:rsidP="00E41E5A">
            <w:r>
              <w:t>Enhanced</w:t>
            </w:r>
          </w:p>
        </w:tc>
        <w:tc>
          <w:tcPr>
            <w:tcW w:w="3398" w:type="dxa"/>
          </w:tcPr>
          <w:p w14:paraId="70ABF57E" w14:textId="7271E64B" w:rsidR="004D4839" w:rsidRDefault="00E842A5" w:rsidP="00E41E5A">
            <w:r>
              <w:t>Spent and Unspent (subject to filtering)</w:t>
            </w:r>
          </w:p>
        </w:tc>
        <w:tc>
          <w:tcPr>
            <w:tcW w:w="3398" w:type="dxa"/>
          </w:tcPr>
          <w:p w14:paraId="0FF5CF6C" w14:textId="496359DC" w:rsidR="004D4839" w:rsidRDefault="00E842A5" w:rsidP="00E41E5A">
            <w:r>
              <w:t xml:space="preserve">Yes </w:t>
            </w:r>
          </w:p>
        </w:tc>
      </w:tr>
      <w:tr w:rsidR="004D4839" w14:paraId="26682424" w14:textId="77777777" w:rsidTr="004D4839">
        <w:tc>
          <w:tcPr>
            <w:tcW w:w="3398" w:type="dxa"/>
          </w:tcPr>
          <w:p w14:paraId="3CBDEC43" w14:textId="5626F377" w:rsidR="004D4839" w:rsidRDefault="004D4839" w:rsidP="00E41E5A">
            <w:r>
              <w:t>Enhanced with (relevant) Barred List(s)</w:t>
            </w:r>
          </w:p>
        </w:tc>
        <w:tc>
          <w:tcPr>
            <w:tcW w:w="3398" w:type="dxa"/>
          </w:tcPr>
          <w:p w14:paraId="5D1D8EF2" w14:textId="360375C7" w:rsidR="004D4839" w:rsidRDefault="00E842A5" w:rsidP="00E41E5A">
            <w:r>
              <w:t>Spent and Unspent (subject to filtering)</w:t>
            </w:r>
          </w:p>
        </w:tc>
        <w:tc>
          <w:tcPr>
            <w:tcW w:w="3398" w:type="dxa"/>
          </w:tcPr>
          <w:p w14:paraId="5201B420" w14:textId="299607E4" w:rsidR="004D4839" w:rsidRDefault="00E842A5" w:rsidP="00E41E5A">
            <w:r>
              <w:t>Yes</w:t>
            </w:r>
          </w:p>
        </w:tc>
      </w:tr>
    </w:tbl>
    <w:p w14:paraId="74DEEB06" w14:textId="77777777" w:rsidR="004D4839" w:rsidRDefault="004D4839" w:rsidP="00E41E5A"/>
    <w:p w14:paraId="786A54CA" w14:textId="77777777" w:rsidR="00E842A5" w:rsidRDefault="00E842A5" w:rsidP="00540DFE">
      <w:pPr>
        <w:pStyle w:val="ListParagraph"/>
        <w:numPr>
          <w:ilvl w:val="1"/>
          <w:numId w:val="1"/>
        </w:numPr>
        <w:rPr>
          <w:rFonts w:ascii="Arial Black" w:hAnsi="Arial Black"/>
          <w:b/>
          <w:bCs/>
          <w:color w:val="C00000"/>
        </w:rPr>
      </w:pPr>
      <w:r>
        <w:rPr>
          <w:rFonts w:ascii="Arial Black" w:hAnsi="Arial Black"/>
          <w:b/>
          <w:bCs/>
          <w:color w:val="C00000"/>
        </w:rPr>
        <w:t xml:space="preserve">Regulated Activity </w:t>
      </w:r>
    </w:p>
    <w:p w14:paraId="1BEA24A4" w14:textId="77777777" w:rsidR="00E842A5" w:rsidRPr="00E842A5" w:rsidRDefault="00E842A5" w:rsidP="00E842A5">
      <w:pPr>
        <w:rPr>
          <w:rFonts w:ascii="Arial Black" w:hAnsi="Arial Black"/>
          <w:b/>
          <w:bCs/>
          <w:color w:val="C00000"/>
        </w:rPr>
      </w:pPr>
    </w:p>
    <w:p w14:paraId="473FF453" w14:textId="77777777" w:rsidR="00E842A5" w:rsidRDefault="00E842A5" w:rsidP="00E842A5">
      <w:r w:rsidRPr="00E842A5">
        <w:t xml:space="preserve">“Regulated Activity” refers to a number of activities that a person may undertake when working with children or adults; those activities are prescribed in legislation. </w:t>
      </w:r>
    </w:p>
    <w:p w14:paraId="65DCCA23" w14:textId="77777777" w:rsidR="00E842A5" w:rsidRDefault="00E842A5" w:rsidP="00E842A5"/>
    <w:p w14:paraId="569B3363" w14:textId="77777777" w:rsidR="00E842A5" w:rsidRDefault="00E842A5" w:rsidP="00E842A5">
      <w:r w:rsidRPr="00E842A5">
        <w:t xml:space="preserve">Anyone working in regulated activity is eligible for an Enhanced with (relevant) Barred List check. </w:t>
      </w:r>
    </w:p>
    <w:p w14:paraId="350EE7F8" w14:textId="77777777" w:rsidR="00E842A5" w:rsidRDefault="00E842A5" w:rsidP="00E842A5"/>
    <w:p w14:paraId="688B6DF4" w14:textId="77777777" w:rsidR="00E842A5" w:rsidRPr="00E842A5" w:rsidRDefault="00E842A5" w:rsidP="00540DFE">
      <w:pPr>
        <w:pStyle w:val="ListParagraph"/>
        <w:numPr>
          <w:ilvl w:val="0"/>
          <w:numId w:val="4"/>
        </w:numPr>
        <w:rPr>
          <w:rFonts w:ascii="Arial Black" w:hAnsi="Arial Black"/>
          <w:b/>
          <w:bCs/>
          <w:color w:val="C00000"/>
        </w:rPr>
      </w:pPr>
      <w:r w:rsidRPr="00E842A5">
        <w:t xml:space="preserve">Guidance about regulated activity with children has been published by the Department for Education (DfE). </w:t>
      </w:r>
    </w:p>
    <w:p w14:paraId="2A3BF1CC" w14:textId="77777777" w:rsidR="00E842A5" w:rsidRPr="00E842A5" w:rsidRDefault="00E842A5" w:rsidP="00540DFE">
      <w:pPr>
        <w:pStyle w:val="ListParagraph"/>
        <w:numPr>
          <w:ilvl w:val="0"/>
          <w:numId w:val="4"/>
        </w:numPr>
        <w:rPr>
          <w:rFonts w:ascii="Arial Black" w:hAnsi="Arial Black"/>
          <w:b/>
          <w:bCs/>
          <w:color w:val="C00000"/>
        </w:rPr>
      </w:pPr>
      <w:r w:rsidRPr="00E842A5">
        <w:t xml:space="preserve">Information about regulated activity with adults is available from the Department of Health and Social Care (DHSC). </w:t>
      </w:r>
    </w:p>
    <w:p w14:paraId="521558B8" w14:textId="77777777" w:rsidR="00E842A5" w:rsidRPr="00E842A5" w:rsidRDefault="00E842A5" w:rsidP="00540DFE">
      <w:pPr>
        <w:pStyle w:val="ListParagraph"/>
        <w:numPr>
          <w:ilvl w:val="0"/>
          <w:numId w:val="4"/>
        </w:numPr>
        <w:rPr>
          <w:rFonts w:ascii="Arial Black" w:hAnsi="Arial Black"/>
          <w:b/>
          <w:bCs/>
          <w:color w:val="C00000"/>
        </w:rPr>
      </w:pPr>
      <w:r w:rsidRPr="00E842A5">
        <w:t xml:space="preserve">The DBS have produced a number of leaflets which may be useful in determining whether activities being undertaken by fire and rescue authority employees would be considered regulated activity. </w:t>
      </w:r>
    </w:p>
    <w:p w14:paraId="2135DDB9" w14:textId="4CED990D" w:rsidR="00E842A5" w:rsidRPr="00E842A5" w:rsidRDefault="00E842A5" w:rsidP="00E842A5">
      <w:pPr>
        <w:pStyle w:val="ListParagraph"/>
        <w:rPr>
          <w:rFonts w:ascii="Arial Black" w:hAnsi="Arial Black"/>
          <w:b/>
          <w:bCs/>
          <w:color w:val="C00000"/>
        </w:rPr>
      </w:pPr>
      <w:r>
        <w:t xml:space="preserve">(Link: </w:t>
      </w:r>
      <w:hyperlink r:id="rId12" w:history="1">
        <w:r w:rsidRPr="0056561B">
          <w:rPr>
            <w:rStyle w:val="Hyperlink"/>
          </w:rPr>
          <w:t>https://www.gov.uk/government/publications/dbs-guidance-leaflets</w:t>
        </w:r>
      </w:hyperlink>
      <w:r>
        <w:t xml:space="preserve">) </w:t>
      </w:r>
    </w:p>
    <w:p w14:paraId="3742BEDB" w14:textId="77777777" w:rsidR="00E842A5" w:rsidRPr="00E842A5" w:rsidRDefault="00E842A5" w:rsidP="00E842A5">
      <w:pPr>
        <w:pStyle w:val="ListParagraph"/>
        <w:rPr>
          <w:rFonts w:ascii="Arial Black" w:hAnsi="Arial Black"/>
          <w:b/>
          <w:bCs/>
          <w:color w:val="C00000"/>
        </w:rPr>
      </w:pPr>
    </w:p>
    <w:p w14:paraId="7C796C69" w14:textId="2A87CFFC" w:rsidR="00E842A5" w:rsidRPr="00E842A5" w:rsidRDefault="00E842A5" w:rsidP="00E842A5">
      <w:pPr>
        <w:rPr>
          <w:rFonts w:ascii="Arial Black" w:hAnsi="Arial Black"/>
          <w:b/>
          <w:bCs/>
          <w:color w:val="C00000"/>
        </w:rPr>
      </w:pPr>
      <w:r w:rsidRPr="00E842A5">
        <w:t xml:space="preserve">Anybody who has been barred by the DBS </w:t>
      </w:r>
      <w:r w:rsidRPr="00E842A5">
        <w:rPr>
          <w:b/>
          <w:bCs/>
        </w:rPr>
        <w:t xml:space="preserve">must not </w:t>
      </w:r>
      <w:r w:rsidRPr="00E842A5">
        <w:t>carry out regulated activity; it is a criminal offence to seek regulated activity employment once barred and employers must not knowingly employ a person who is barred to undertake such a role.</w:t>
      </w:r>
    </w:p>
    <w:p w14:paraId="71467C98" w14:textId="77777777" w:rsidR="00E842A5" w:rsidRDefault="00E842A5" w:rsidP="00E842A5">
      <w:pPr>
        <w:pStyle w:val="ListParagraph"/>
        <w:ind w:left="1080"/>
      </w:pPr>
    </w:p>
    <w:p w14:paraId="5E9AF9FF" w14:textId="5CE7762F" w:rsidR="00E41E5A" w:rsidRDefault="00E41E5A" w:rsidP="00E41E5A">
      <w:r w:rsidRPr="00E41E5A">
        <w:t>DBS is unable to access criminal records held overseas, so a DBS check may not provide a complete view of an applicant’s criminal record, if they have lived outside of the UK.</w:t>
      </w:r>
      <w:r>
        <w:t xml:space="preserve"> </w:t>
      </w:r>
      <w:r w:rsidRPr="00E41E5A">
        <w:t>More information about how to </w:t>
      </w:r>
      <w:hyperlink r:id="rId13" w:history="1">
        <w:r w:rsidRPr="00E41E5A">
          <w:rPr>
            <w:b/>
            <w:color w:val="C00000"/>
          </w:rPr>
          <w:t>get a criminal record check for overseas applicants</w:t>
        </w:r>
      </w:hyperlink>
      <w:r>
        <w:rPr>
          <w:color w:val="C00000"/>
        </w:rPr>
        <w:t xml:space="preserve"> (link)</w:t>
      </w:r>
      <w:r w:rsidRPr="00E41E5A">
        <w:t>, or those that have previously lived outside of the UK, on the Home Office website.</w:t>
      </w:r>
    </w:p>
    <w:p w14:paraId="6F9CF5A9" w14:textId="77777777" w:rsidR="00E842A5" w:rsidRPr="00E842A5" w:rsidRDefault="00E842A5" w:rsidP="00E842A5">
      <w:pPr>
        <w:rPr>
          <w:rFonts w:ascii="Arial Black" w:hAnsi="Arial Black"/>
          <w:b/>
          <w:bCs/>
          <w:color w:val="C00000"/>
        </w:rPr>
      </w:pPr>
    </w:p>
    <w:p w14:paraId="2FC302E2" w14:textId="2844B9E9" w:rsidR="00E842A5" w:rsidRPr="00E842A5" w:rsidRDefault="00E842A5" w:rsidP="00540DFE">
      <w:pPr>
        <w:pStyle w:val="ListParagraph"/>
        <w:numPr>
          <w:ilvl w:val="1"/>
          <w:numId w:val="1"/>
        </w:numPr>
        <w:rPr>
          <w:rFonts w:ascii="Arial Black" w:hAnsi="Arial Black"/>
          <w:b/>
          <w:bCs/>
          <w:color w:val="C00000"/>
        </w:rPr>
      </w:pPr>
      <w:r w:rsidRPr="00E842A5">
        <w:rPr>
          <w:rFonts w:ascii="Arial Black" w:hAnsi="Arial Black"/>
          <w:b/>
          <w:bCs/>
          <w:color w:val="C00000"/>
        </w:rPr>
        <w:lastRenderedPageBreak/>
        <w:t xml:space="preserve">Working with Children or Adults </w:t>
      </w:r>
    </w:p>
    <w:p w14:paraId="46E3E488" w14:textId="77777777" w:rsidR="00E842A5" w:rsidRDefault="00E842A5" w:rsidP="00E41E5A"/>
    <w:p w14:paraId="650E3C95" w14:textId="77777777" w:rsidR="00E842A5" w:rsidRDefault="00E842A5" w:rsidP="00E41E5A">
      <w:r w:rsidRPr="00E842A5">
        <w:t xml:space="preserve">There are certain positions and activities with children (under 18s) and with adults that defines as work with children or adults. These are not regulated activity. </w:t>
      </w:r>
    </w:p>
    <w:p w14:paraId="507EF57A" w14:textId="77777777" w:rsidR="00E842A5" w:rsidRDefault="00E842A5" w:rsidP="00E41E5A"/>
    <w:p w14:paraId="4FDAD819" w14:textId="12945F37" w:rsidR="00E842A5" w:rsidRDefault="00E842A5" w:rsidP="00E41E5A">
      <w:r w:rsidRPr="00E842A5">
        <w:t>These positions, activities</w:t>
      </w:r>
      <w:r w:rsidR="00B82B3C">
        <w:t>,</w:t>
      </w:r>
      <w:r w:rsidRPr="00E842A5">
        <w:t xml:space="preserve"> and people are all set out in legislation. Where a regulated activity is being carried out, but it is not being done often enough this is also considered work with children or adults. </w:t>
      </w:r>
    </w:p>
    <w:p w14:paraId="109D041C" w14:textId="77777777" w:rsidR="00B82B3C" w:rsidRDefault="00B82B3C" w:rsidP="00E41E5A"/>
    <w:p w14:paraId="53F8F50F" w14:textId="77777777" w:rsidR="00E842A5" w:rsidRDefault="00E842A5" w:rsidP="00E41E5A">
      <w:r w:rsidRPr="00E842A5">
        <w:t xml:space="preserve">Anyone working with children or adults as defined in legislation will be eligible for an enhanced DBS check. </w:t>
      </w:r>
    </w:p>
    <w:p w14:paraId="35E8006F" w14:textId="77777777" w:rsidR="00E842A5" w:rsidRDefault="00E842A5" w:rsidP="00E41E5A"/>
    <w:p w14:paraId="2E874BB2" w14:textId="29A50084" w:rsidR="00E842A5" w:rsidRDefault="00E842A5" w:rsidP="00540DFE">
      <w:pPr>
        <w:pStyle w:val="ListParagraph"/>
        <w:numPr>
          <w:ilvl w:val="0"/>
          <w:numId w:val="5"/>
        </w:numPr>
      </w:pPr>
      <w:r w:rsidRPr="00E842A5">
        <w:t xml:space="preserve">Guidance about work with children can be found in the Child Workforce Guide, including overnight care. </w:t>
      </w:r>
      <w:proofErr w:type="spellStart"/>
      <w:r>
        <w:t>Link:</w:t>
      </w:r>
      <w:hyperlink r:id="rId14" w:history="1">
        <w:r>
          <w:rPr>
            <w:rStyle w:val="Hyperlink"/>
          </w:rPr>
          <w:t>Child</w:t>
        </w:r>
        <w:proofErr w:type="spellEnd"/>
        <w:r>
          <w:rPr>
            <w:rStyle w:val="Hyperlink"/>
          </w:rPr>
          <w:t xml:space="preserve"> Workforce Guide, including overnight care</w:t>
        </w:r>
      </w:hyperlink>
      <w:r>
        <w:t xml:space="preserve"> </w:t>
      </w:r>
    </w:p>
    <w:p w14:paraId="3349B672" w14:textId="77777777" w:rsidR="00E842A5" w:rsidRDefault="00E842A5" w:rsidP="00E41E5A"/>
    <w:p w14:paraId="5EBCFEA8" w14:textId="53CAE44B" w:rsidR="00E842A5" w:rsidRDefault="00E842A5" w:rsidP="00540DFE">
      <w:pPr>
        <w:pStyle w:val="ListParagraph"/>
        <w:numPr>
          <w:ilvl w:val="0"/>
          <w:numId w:val="5"/>
        </w:numPr>
      </w:pPr>
      <w:r w:rsidRPr="00E842A5">
        <w:t>Guidance about work with adults can be found on page 2 and in Annex 1 of the Adult Workforce guide</w:t>
      </w:r>
      <w:r>
        <w:t xml:space="preserve"> Link: </w:t>
      </w:r>
      <w:hyperlink r:id="rId15" w:history="1">
        <w:r w:rsidRPr="00E842A5">
          <w:rPr>
            <w:rStyle w:val="Hyperlink"/>
          </w:rPr>
          <w:t>Adult Workforce Guide</w:t>
        </w:r>
      </w:hyperlink>
    </w:p>
    <w:p w14:paraId="594B5C5E" w14:textId="77777777" w:rsidR="00E842A5" w:rsidRDefault="00E842A5" w:rsidP="00E41E5A"/>
    <w:p w14:paraId="6B2FAC45" w14:textId="27B96179" w:rsidR="002D7DF5" w:rsidRPr="002D7DF5" w:rsidRDefault="004D4839" w:rsidP="00540DFE">
      <w:pPr>
        <w:pStyle w:val="ListParagraph"/>
        <w:numPr>
          <w:ilvl w:val="1"/>
          <w:numId w:val="1"/>
        </w:numPr>
        <w:rPr>
          <w:rFonts w:ascii="Arial Black" w:hAnsi="Arial Black"/>
          <w:b/>
          <w:bCs/>
          <w:color w:val="C00000"/>
        </w:rPr>
      </w:pPr>
      <w:r w:rsidRPr="002D7DF5">
        <w:rPr>
          <w:rFonts w:ascii="Arial Black" w:hAnsi="Arial Black"/>
          <w:b/>
          <w:bCs/>
          <w:color w:val="C00000"/>
        </w:rPr>
        <w:t xml:space="preserve">Eligibility </w:t>
      </w:r>
    </w:p>
    <w:p w14:paraId="0D8D971D" w14:textId="77777777" w:rsidR="004D4839" w:rsidRPr="004D4839" w:rsidRDefault="004D4839" w:rsidP="00E41E5A">
      <w:pPr>
        <w:rPr>
          <w:b/>
          <w:bCs/>
        </w:rPr>
      </w:pPr>
    </w:p>
    <w:p w14:paraId="2B5C840E" w14:textId="77777777" w:rsidR="002D7DF5" w:rsidRDefault="002D7DF5" w:rsidP="002D7DF5">
      <w:r>
        <w:t xml:space="preserve">CFRS </w:t>
      </w:r>
      <w:r w:rsidRPr="002D7DF5">
        <w:t>are only eligible to request a standard or enhanced disclosure check, containing information on both unprotected spent and unspent convictions, for an employee or prospective employee if that individual is engaged in an activity listed in the Rehabilitation of Offenders Act 1974 (Exceptions) Order 1975</w:t>
      </w:r>
      <w:r>
        <w:t xml:space="preserve">. </w:t>
      </w:r>
    </w:p>
    <w:p w14:paraId="1742E6C7" w14:textId="77777777" w:rsidR="002D7DF5" w:rsidRDefault="002D7DF5" w:rsidP="002D7DF5"/>
    <w:p w14:paraId="7C9C2406" w14:textId="77777777" w:rsidR="002D7DF5" w:rsidRDefault="002D7DF5" w:rsidP="002D7DF5">
      <w:r w:rsidRPr="002D7DF5">
        <w:t>If this applies, the applicant will be required to disclose any unprotected spent cautions and convictions that they have.</w:t>
      </w:r>
    </w:p>
    <w:p w14:paraId="0D1F022E" w14:textId="77777777" w:rsidR="002D7DF5" w:rsidRDefault="002D7DF5" w:rsidP="002D7DF5"/>
    <w:p w14:paraId="79A345E5" w14:textId="77777777" w:rsidR="002D7DF5" w:rsidRDefault="002D7DF5" w:rsidP="002D7DF5">
      <w:r w:rsidRPr="002D7DF5">
        <w:t>In the case of enhanced DBS checks, the activity or position is also included in the Regulations made under the Police Act 1997. If you are unsure whether such a check can be requested</w:t>
      </w:r>
      <w:r>
        <w:t xml:space="preserve">, please contact the Resourcing team via email: </w:t>
      </w:r>
      <w:hyperlink r:id="rId16" w:history="1">
        <w:r w:rsidRPr="0056561B">
          <w:rPr>
            <w:rStyle w:val="Hyperlink"/>
          </w:rPr>
          <w:t>recruitment@cumbriafire.gov.uk</w:t>
        </w:r>
      </w:hyperlink>
      <w:r>
        <w:t xml:space="preserve"> </w:t>
      </w:r>
    </w:p>
    <w:p w14:paraId="4D536E5F" w14:textId="77777777" w:rsidR="002D7DF5" w:rsidRDefault="002D7DF5" w:rsidP="004D4839"/>
    <w:p w14:paraId="12BCC556" w14:textId="09EF323B" w:rsidR="002D7DF5" w:rsidRDefault="004D4839" w:rsidP="004D4839">
      <w:r w:rsidRPr="004D4839">
        <w:t>Access to Standard, Enhanced, and Enhanced with Barred List(s) DBS checks is only available to employers who are entitled by law to ask an individual to reveal their full criminal history, including spent convictions (excluding </w:t>
      </w:r>
      <w:hyperlink r:id="rId17" w:history="1">
        <w:r w:rsidRPr="004D4839">
          <w:rPr>
            <w:rStyle w:val="Hyperlink"/>
          </w:rPr>
          <w:t>protected cautions and convictions that will be filtered from a criminal record check</w:t>
        </w:r>
      </w:hyperlink>
      <w:r w:rsidR="00B82B3C">
        <w:t xml:space="preserve"> link</w:t>
      </w:r>
      <w:r w:rsidRPr="004D4839">
        <w:t>). This is known as asking ‘an exempted question’.</w:t>
      </w:r>
    </w:p>
    <w:p w14:paraId="4F68039E" w14:textId="77777777" w:rsidR="002D7DF5" w:rsidRDefault="002D7DF5" w:rsidP="004D4839"/>
    <w:p w14:paraId="43E75497" w14:textId="77777777" w:rsidR="002D7DF5" w:rsidRDefault="004D4839" w:rsidP="004D4839">
      <w:r w:rsidRPr="004D4839">
        <w:t xml:space="preserve">An exempted question applies when the individual will be working in specific occupations, for certain licenses or specified positions. These are covered by the Rehabilitation of Offenders Act 1974 (Exceptions) Order 1975. </w:t>
      </w:r>
    </w:p>
    <w:p w14:paraId="00A38627" w14:textId="77777777" w:rsidR="002D7DF5" w:rsidRDefault="002D7DF5" w:rsidP="004D4839"/>
    <w:p w14:paraId="67F6205A" w14:textId="77777777" w:rsidR="002D7DF5" w:rsidRDefault="004D4839" w:rsidP="004D4839">
      <w:r w:rsidRPr="004D4839">
        <w:t>Knowingly requesting a higher-level check than the legislation allows is unlawful and could be a breach of the Data Protection Act 2018 and other relevant legislation.</w:t>
      </w:r>
    </w:p>
    <w:p w14:paraId="1571F39F" w14:textId="77777777" w:rsidR="002D7DF5" w:rsidRDefault="002D7DF5" w:rsidP="004D4839"/>
    <w:p w14:paraId="16D9B10E" w14:textId="68440B4A" w:rsidR="004D4839" w:rsidRDefault="004D4839" w:rsidP="004D4839">
      <w:r w:rsidRPr="004D4839">
        <w:lastRenderedPageBreak/>
        <w:t>The minimum age at which someone can be asked to apply for a criminal record check is 16 years old.</w:t>
      </w:r>
    </w:p>
    <w:p w14:paraId="316EA8EB" w14:textId="77777777" w:rsidR="000A43F9" w:rsidRDefault="000A43F9" w:rsidP="004D4839"/>
    <w:p w14:paraId="7382F1C2" w14:textId="317EFB98" w:rsidR="000A43F9" w:rsidRPr="000A43F9" w:rsidRDefault="000A43F9" w:rsidP="00540DFE">
      <w:pPr>
        <w:pStyle w:val="Heading3"/>
        <w:numPr>
          <w:ilvl w:val="0"/>
          <w:numId w:val="1"/>
        </w:numPr>
        <w:rPr>
          <w:rStyle w:val="Hyperlink"/>
          <w:rFonts w:ascii="Arial Black" w:hAnsi="Arial Black"/>
          <w:b/>
          <w:sz w:val="28"/>
          <w:szCs w:val="28"/>
        </w:rPr>
      </w:pPr>
      <w:bookmarkStart w:id="21" w:name="_Toc210990747"/>
      <w:r w:rsidRPr="000A43F9">
        <w:rPr>
          <w:rStyle w:val="Hyperlink"/>
          <w:rFonts w:ascii="Arial Black" w:hAnsi="Arial Black"/>
          <w:b/>
          <w:sz w:val="28"/>
          <w:szCs w:val="28"/>
        </w:rPr>
        <w:t>Transgender Process for DBS Checks</w:t>
      </w:r>
      <w:bookmarkEnd w:id="21"/>
    </w:p>
    <w:p w14:paraId="431418A4" w14:textId="77777777" w:rsidR="00E41E5A" w:rsidRDefault="00E41E5A" w:rsidP="00E41E5A"/>
    <w:p w14:paraId="3386240A" w14:textId="77777777" w:rsidR="000A43F9" w:rsidRPr="000A43F9" w:rsidRDefault="000A43F9" w:rsidP="000A43F9">
      <w:r w:rsidRPr="000A43F9">
        <w:t>DBS offers a confidential checking process for transgender applicants.</w:t>
      </w:r>
    </w:p>
    <w:p w14:paraId="3C21544C" w14:textId="77777777" w:rsidR="000A43F9" w:rsidRPr="000A43F9" w:rsidRDefault="000A43F9" w:rsidP="000A43F9">
      <w:r w:rsidRPr="000A43F9">
        <w:t>This process is for transgender applicants who do not wish to reveal details of their previous identity to the person who asked them to complete an application form for a DBS check.</w:t>
      </w:r>
    </w:p>
    <w:p w14:paraId="65ABB815" w14:textId="42A0EC38" w:rsidR="000A43F9" w:rsidRPr="000A43F9" w:rsidRDefault="000A43F9" w:rsidP="000A43F9">
      <w:r w:rsidRPr="000A43F9">
        <w:t>For more information about the transgender process, email </w:t>
      </w:r>
      <w:hyperlink r:id="rId18" w:history="1">
        <w:r w:rsidRPr="000A43F9">
          <w:rPr>
            <w:rStyle w:val="Hyperlink"/>
          </w:rPr>
          <w:t>sensitive@dbs.gov.uk</w:t>
        </w:r>
      </w:hyperlink>
      <w:r w:rsidRPr="000A43F9">
        <w:t> or see the DBS </w:t>
      </w:r>
      <w:hyperlink r:id="rId19" w:history="1">
        <w:r w:rsidRPr="000A43F9">
          <w:rPr>
            <w:rStyle w:val="Hyperlink"/>
          </w:rPr>
          <w:t>Transgender Applications guidance</w:t>
        </w:r>
      </w:hyperlink>
      <w:r>
        <w:t xml:space="preserve"> (link)</w:t>
      </w:r>
      <w:r w:rsidRPr="000A43F9">
        <w:t>.</w:t>
      </w:r>
    </w:p>
    <w:p w14:paraId="4920B7FE" w14:textId="77777777" w:rsidR="000A43F9" w:rsidRPr="00E41E5A" w:rsidRDefault="000A43F9" w:rsidP="00E41E5A"/>
    <w:p w14:paraId="7393F0A1" w14:textId="1417F28D" w:rsidR="000A43F9" w:rsidRPr="000A43F9" w:rsidRDefault="000A43F9" w:rsidP="00540DFE">
      <w:pPr>
        <w:pStyle w:val="Heading3"/>
        <w:numPr>
          <w:ilvl w:val="0"/>
          <w:numId w:val="1"/>
        </w:numPr>
        <w:rPr>
          <w:rStyle w:val="Hyperlink"/>
          <w:rFonts w:ascii="Arial Black" w:hAnsi="Arial Black"/>
          <w:b/>
          <w:sz w:val="28"/>
          <w:szCs w:val="28"/>
        </w:rPr>
      </w:pPr>
      <w:bookmarkStart w:id="22" w:name="_Toc210990748"/>
      <w:r w:rsidRPr="000A43F9">
        <w:rPr>
          <w:rStyle w:val="Hyperlink"/>
          <w:rFonts w:ascii="Arial Black" w:hAnsi="Arial Black"/>
          <w:b/>
          <w:sz w:val="28"/>
          <w:szCs w:val="28"/>
        </w:rPr>
        <w:t>Update Service</w:t>
      </w:r>
      <w:bookmarkEnd w:id="22"/>
    </w:p>
    <w:p w14:paraId="5E332348" w14:textId="38D54B75" w:rsidR="000A43F9" w:rsidRPr="000A43F9" w:rsidRDefault="000A43F9" w:rsidP="000A43F9">
      <w:pPr>
        <w:rPr>
          <w:b/>
          <w:bCs/>
        </w:rPr>
      </w:pPr>
    </w:p>
    <w:p w14:paraId="36D5B5B3" w14:textId="77777777" w:rsidR="000A43F9" w:rsidRDefault="000A43F9" w:rsidP="000A43F9">
      <w:r w:rsidRPr="000A43F9">
        <w:t>Individuals can join the </w:t>
      </w:r>
      <w:hyperlink r:id="rId20" w:history="1">
        <w:r w:rsidRPr="000A43F9">
          <w:rPr>
            <w:rStyle w:val="Hyperlink"/>
          </w:rPr>
          <w:t>Update Service</w:t>
        </w:r>
      </w:hyperlink>
      <w:r>
        <w:t xml:space="preserve"> (link)</w:t>
      </w:r>
      <w:r w:rsidRPr="000A43F9">
        <w:t> which allows them to reuse their DBS certificates when applying for similar jobs.</w:t>
      </w:r>
    </w:p>
    <w:p w14:paraId="384FD491" w14:textId="77777777" w:rsidR="000A43F9" w:rsidRDefault="000A43F9" w:rsidP="000A43F9"/>
    <w:p w14:paraId="62D808AB" w14:textId="77777777" w:rsidR="000A43F9" w:rsidRDefault="000A43F9" w:rsidP="000A43F9">
      <w:r w:rsidRPr="000A43F9">
        <w:t>The Update Service is only available for standard and enhanced checks. You cannot join the Update Service with a basic check.</w:t>
      </w:r>
    </w:p>
    <w:p w14:paraId="4187F671" w14:textId="77777777" w:rsidR="000A43F9" w:rsidRDefault="000A43F9" w:rsidP="000A43F9"/>
    <w:p w14:paraId="7EB40218" w14:textId="14D16E7A" w:rsidR="000A43F9" w:rsidRDefault="000A43F9" w:rsidP="000A43F9">
      <w:r w:rsidRPr="000A43F9">
        <w:t>For individuals to subscribe to the Update Service, they must do so within 30 days from when their certificate is issued. Please note that if an individual requests a reprint, the 30-day window applies from the original certificate date and not the reprint date.</w:t>
      </w:r>
    </w:p>
    <w:p w14:paraId="3F56A744" w14:textId="77777777" w:rsidR="000A43F9" w:rsidRPr="000A43F9" w:rsidRDefault="000A43F9" w:rsidP="000A43F9"/>
    <w:p w14:paraId="5AC14236" w14:textId="43B0E221" w:rsidR="000A43F9" w:rsidRPr="000A43F9" w:rsidRDefault="000A43F9" w:rsidP="000A43F9">
      <w:hyperlink r:id="rId21" w:history="1">
        <w:r w:rsidRPr="000A43F9">
          <w:rPr>
            <w:rStyle w:val="Hyperlink"/>
          </w:rPr>
          <w:t>More information about the Update Service can be found on GOV.UK</w:t>
        </w:r>
      </w:hyperlink>
      <w:r>
        <w:t xml:space="preserve"> (link)</w:t>
      </w:r>
      <w:r w:rsidRPr="000A43F9">
        <w:t>.</w:t>
      </w:r>
    </w:p>
    <w:p w14:paraId="708C1BA8" w14:textId="77777777" w:rsidR="000A43F9" w:rsidRDefault="000A43F9" w:rsidP="000A43F9"/>
    <w:p w14:paraId="072ED776" w14:textId="77777777" w:rsidR="000A43F9" w:rsidRPr="000A43F9" w:rsidRDefault="000A43F9" w:rsidP="000A43F9"/>
    <w:p w14:paraId="2ED8087C" w14:textId="3292FE01" w:rsidR="00D177C2" w:rsidRPr="00D177C2" w:rsidRDefault="00BD7946" w:rsidP="00540DFE">
      <w:pPr>
        <w:pStyle w:val="Heading3"/>
        <w:numPr>
          <w:ilvl w:val="0"/>
          <w:numId w:val="1"/>
        </w:numPr>
        <w:tabs>
          <w:tab w:val="num" w:pos="405"/>
        </w:tabs>
        <w:ind w:left="405" w:hanging="405"/>
        <w:rPr>
          <w:rStyle w:val="Hyperlink"/>
          <w:rFonts w:ascii="Arial Black" w:hAnsi="Arial Black"/>
          <w:sz w:val="28"/>
          <w:szCs w:val="28"/>
        </w:rPr>
      </w:pPr>
      <w:bookmarkStart w:id="23" w:name="_Toc210990749"/>
      <w:r w:rsidRPr="002D7DF5">
        <w:rPr>
          <w:rStyle w:val="Hyperlink"/>
          <w:rFonts w:ascii="Arial Black" w:hAnsi="Arial Black"/>
          <w:b/>
          <w:sz w:val="28"/>
          <w:szCs w:val="28"/>
        </w:rPr>
        <w:t xml:space="preserve">DBS </w:t>
      </w:r>
      <w:r w:rsidR="00D177C2">
        <w:rPr>
          <w:rStyle w:val="Hyperlink"/>
          <w:rFonts w:ascii="Arial Black" w:hAnsi="Arial Black"/>
          <w:b/>
          <w:sz w:val="28"/>
          <w:szCs w:val="28"/>
        </w:rPr>
        <w:t>at Pre-Employment</w:t>
      </w:r>
      <w:bookmarkEnd w:id="23"/>
    </w:p>
    <w:p w14:paraId="59A87FD9" w14:textId="77777777" w:rsidR="00D177C2" w:rsidRPr="00363F3E" w:rsidRDefault="00D177C2" w:rsidP="00363F3E">
      <w:pPr>
        <w:rPr>
          <w:rStyle w:val="Hyperlink"/>
          <w:rFonts w:cs="Arial"/>
          <w:b w:val="0"/>
        </w:rPr>
      </w:pPr>
    </w:p>
    <w:p w14:paraId="251C5861" w14:textId="031257FC" w:rsidR="00363F3E" w:rsidRDefault="00363F3E" w:rsidP="00363F3E">
      <w:pPr>
        <w:pStyle w:val="next"/>
        <w:spacing w:after="0"/>
        <w:rPr>
          <w:bCs/>
          <w:szCs w:val="24"/>
        </w:rPr>
      </w:pPr>
      <w:r>
        <w:rPr>
          <w:bCs/>
          <w:szCs w:val="24"/>
        </w:rPr>
        <w:t>We ask all candidates to disclose any unspent criminal offences during the recruitment process and employees thereafter, as and when applicable.</w:t>
      </w:r>
    </w:p>
    <w:p w14:paraId="4B774BDE" w14:textId="77777777" w:rsidR="00363F3E" w:rsidRDefault="00363F3E" w:rsidP="00363F3E">
      <w:pPr>
        <w:pStyle w:val="next"/>
        <w:spacing w:after="0"/>
        <w:rPr>
          <w:bCs/>
          <w:szCs w:val="24"/>
        </w:rPr>
      </w:pPr>
    </w:p>
    <w:p w14:paraId="3AA65A31" w14:textId="724A528A" w:rsidR="00363F3E" w:rsidRDefault="00363F3E" w:rsidP="00363F3E">
      <w:pPr>
        <w:pStyle w:val="next"/>
        <w:spacing w:after="0"/>
        <w:rPr>
          <w:bCs/>
          <w:szCs w:val="24"/>
        </w:rPr>
      </w:pPr>
      <w:r>
        <w:rPr>
          <w:bCs/>
          <w:szCs w:val="24"/>
        </w:rPr>
        <w:t>If candidates are applying for roles that require a</w:t>
      </w:r>
      <w:r w:rsidR="00B82B3C">
        <w:rPr>
          <w:bCs/>
          <w:szCs w:val="24"/>
        </w:rPr>
        <w:t xml:space="preserve"> Standard or Enhanced</w:t>
      </w:r>
      <w:r>
        <w:rPr>
          <w:bCs/>
          <w:szCs w:val="24"/>
        </w:rPr>
        <w:t xml:space="preserve"> DBS certificate, it means they are applying for a role that is outlined in the ROA (exceptions) order and as such, we additionally require candidates to disclose any spent offences. </w:t>
      </w:r>
    </w:p>
    <w:p w14:paraId="1ADEDBC6" w14:textId="77777777" w:rsidR="00363F3E" w:rsidRDefault="00363F3E" w:rsidP="00363F3E">
      <w:pPr>
        <w:pStyle w:val="next"/>
        <w:spacing w:after="0"/>
        <w:rPr>
          <w:bCs/>
          <w:szCs w:val="24"/>
        </w:rPr>
      </w:pPr>
    </w:p>
    <w:p w14:paraId="73E4AF36" w14:textId="0D0DA89C" w:rsidR="00BD7946" w:rsidRDefault="00363F3E" w:rsidP="00363F3E">
      <w:pPr>
        <w:pStyle w:val="next"/>
        <w:spacing w:after="0"/>
        <w:rPr>
          <w:bCs/>
          <w:szCs w:val="24"/>
        </w:rPr>
      </w:pPr>
      <w:r>
        <w:rPr>
          <w:bCs/>
          <w:szCs w:val="24"/>
        </w:rPr>
        <w:t xml:space="preserve">However, in all circumstances, candidates or employees should not disclose any offences which are protected or filtered from an individual’s criminal record. </w:t>
      </w:r>
    </w:p>
    <w:p w14:paraId="47DD6D93" w14:textId="77777777" w:rsidR="00363F3E" w:rsidRPr="00363F3E" w:rsidRDefault="00363F3E" w:rsidP="00363F3E">
      <w:pPr>
        <w:rPr>
          <w:rFonts w:cs="Arial"/>
          <w:b/>
          <w:bCs/>
          <w:color w:val="C00000"/>
        </w:rPr>
      </w:pPr>
    </w:p>
    <w:p w14:paraId="673823B9" w14:textId="3EFD16F7" w:rsidR="00363F3E" w:rsidRDefault="00363F3E" w:rsidP="00363F3E">
      <w:pPr>
        <w:rPr>
          <w:bCs/>
        </w:rPr>
      </w:pPr>
      <w:r>
        <w:rPr>
          <w:bCs/>
        </w:rPr>
        <w:t>I</w:t>
      </w:r>
      <w:r w:rsidRPr="00363F3E">
        <w:rPr>
          <w:bCs/>
        </w:rPr>
        <w:t>t is important to consider candidates for employment from the broadest range possible, which includes ex-offenders. Obtaining a job</w:t>
      </w:r>
      <w:r>
        <w:rPr>
          <w:bCs/>
        </w:rPr>
        <w:t xml:space="preserve"> can be </w:t>
      </w:r>
      <w:r w:rsidRPr="00363F3E">
        <w:rPr>
          <w:bCs/>
        </w:rPr>
        <w:t>an essential part of successful rehabilitation.</w:t>
      </w:r>
      <w:r>
        <w:rPr>
          <w:bCs/>
        </w:rPr>
        <w:t xml:space="preserve"> CFRS</w:t>
      </w:r>
      <w:r w:rsidRPr="00363F3E">
        <w:rPr>
          <w:bCs/>
        </w:rPr>
        <w:t xml:space="preserve"> actively promotes equality of opportunity for all and welcomes applications from a wide range of </w:t>
      </w:r>
      <w:r>
        <w:rPr>
          <w:bCs/>
        </w:rPr>
        <w:t xml:space="preserve">candidates. </w:t>
      </w:r>
    </w:p>
    <w:p w14:paraId="19B7B096" w14:textId="77777777" w:rsidR="00363F3E" w:rsidRDefault="00363F3E" w:rsidP="00363F3E">
      <w:pPr>
        <w:rPr>
          <w:bCs/>
        </w:rPr>
      </w:pPr>
    </w:p>
    <w:p w14:paraId="4FC78E22" w14:textId="704EF66E" w:rsidR="00363F3E" w:rsidRPr="00363F3E" w:rsidRDefault="00363F3E" w:rsidP="00540DFE">
      <w:pPr>
        <w:pStyle w:val="ListParagraph"/>
        <w:numPr>
          <w:ilvl w:val="1"/>
          <w:numId w:val="1"/>
        </w:numPr>
        <w:rPr>
          <w:rFonts w:ascii="Arial Black" w:hAnsi="Arial Black"/>
          <w:b/>
          <w:bCs/>
          <w:color w:val="C00000"/>
        </w:rPr>
      </w:pPr>
      <w:r w:rsidRPr="00363F3E">
        <w:rPr>
          <w:rFonts w:ascii="Arial Black" w:hAnsi="Arial Black"/>
          <w:b/>
          <w:bCs/>
          <w:color w:val="C00000"/>
        </w:rPr>
        <w:t xml:space="preserve">Disclosure at Application </w:t>
      </w:r>
    </w:p>
    <w:p w14:paraId="6FBF6CBC" w14:textId="77777777" w:rsidR="00363F3E" w:rsidRPr="00363F3E" w:rsidRDefault="00363F3E" w:rsidP="00363F3E">
      <w:pPr>
        <w:pStyle w:val="next"/>
        <w:spacing w:after="0"/>
        <w:rPr>
          <w:bCs/>
          <w:szCs w:val="24"/>
        </w:rPr>
      </w:pPr>
    </w:p>
    <w:p w14:paraId="6D6086D5" w14:textId="77777777" w:rsidR="00B82B3C" w:rsidRDefault="00F93577" w:rsidP="00363F3E">
      <w:pPr>
        <w:pStyle w:val="next"/>
        <w:spacing w:after="0"/>
        <w:rPr>
          <w:bCs/>
          <w:szCs w:val="24"/>
        </w:rPr>
      </w:pPr>
      <w:r>
        <w:rPr>
          <w:bCs/>
          <w:szCs w:val="24"/>
        </w:rPr>
        <w:lastRenderedPageBreak/>
        <w:t xml:space="preserve">The level of DBS check required will be detailed on the advert, on our Vacancies website, and on the job description for all recruitment. </w:t>
      </w:r>
    </w:p>
    <w:p w14:paraId="3EC3AC47" w14:textId="77777777" w:rsidR="00B82B3C" w:rsidRDefault="00B82B3C" w:rsidP="00363F3E">
      <w:pPr>
        <w:pStyle w:val="next"/>
        <w:spacing w:after="0"/>
        <w:rPr>
          <w:bCs/>
          <w:szCs w:val="24"/>
        </w:rPr>
      </w:pPr>
    </w:p>
    <w:p w14:paraId="1DBB6428" w14:textId="2B217CF6" w:rsidR="00363F3E" w:rsidRDefault="00363F3E" w:rsidP="00363F3E">
      <w:pPr>
        <w:pStyle w:val="next"/>
        <w:spacing w:after="0"/>
        <w:rPr>
          <w:bCs/>
          <w:szCs w:val="24"/>
        </w:rPr>
      </w:pPr>
      <w:r>
        <w:rPr>
          <w:bCs/>
          <w:szCs w:val="24"/>
        </w:rPr>
        <w:t>At the application stage</w:t>
      </w:r>
      <w:r w:rsidRPr="00363F3E">
        <w:rPr>
          <w:bCs/>
          <w:szCs w:val="24"/>
        </w:rPr>
        <w:t xml:space="preserve">, we will only ask individuals to provide details of convictions and cautions that we are legally entitled to know about. </w:t>
      </w:r>
      <w:r w:rsidR="00F93577">
        <w:rPr>
          <w:bCs/>
          <w:szCs w:val="24"/>
        </w:rPr>
        <w:t xml:space="preserve">Links to guidance and support for Ex-Offenders will be provided on the Resourcing and Talent web pages, to support candidates with knowing what to disclose and what not to. </w:t>
      </w:r>
    </w:p>
    <w:p w14:paraId="118F4528" w14:textId="77777777" w:rsidR="00363F3E" w:rsidRDefault="00363F3E" w:rsidP="00363F3E">
      <w:pPr>
        <w:pStyle w:val="next"/>
        <w:spacing w:after="0"/>
        <w:rPr>
          <w:bCs/>
          <w:szCs w:val="24"/>
        </w:rPr>
      </w:pPr>
    </w:p>
    <w:p w14:paraId="377C1E6B" w14:textId="6FF895A9" w:rsidR="00363F3E" w:rsidRDefault="00363F3E" w:rsidP="00363F3E">
      <w:pPr>
        <w:pStyle w:val="next"/>
        <w:spacing w:after="0"/>
        <w:rPr>
          <w:bCs/>
          <w:szCs w:val="24"/>
        </w:rPr>
      </w:pPr>
      <w:r w:rsidRPr="00363F3E">
        <w:rPr>
          <w:b/>
          <w:szCs w:val="24"/>
        </w:rPr>
        <w:t>Only the Resourcing team have access to the raw data from the online application form or from applications, including CVs.</w:t>
      </w:r>
      <w:r>
        <w:rPr>
          <w:bCs/>
          <w:szCs w:val="24"/>
        </w:rPr>
        <w:t xml:space="preserve"> This information is removed from the data provided at the Shortlisting </w:t>
      </w:r>
      <w:proofErr w:type="gramStart"/>
      <w:r>
        <w:rPr>
          <w:bCs/>
          <w:szCs w:val="24"/>
        </w:rPr>
        <w:t>process, and</w:t>
      </w:r>
      <w:proofErr w:type="gramEnd"/>
      <w:r>
        <w:rPr>
          <w:bCs/>
          <w:szCs w:val="24"/>
        </w:rPr>
        <w:t xml:space="preserve"> will only be reviewed again in the instance that an offer of employment has been made and a DBS check has a positive disclosure on it</w:t>
      </w:r>
      <w:r w:rsidR="00B82B3C">
        <w:rPr>
          <w:bCs/>
          <w:szCs w:val="24"/>
        </w:rPr>
        <w:t xml:space="preserve">. </w:t>
      </w:r>
    </w:p>
    <w:p w14:paraId="50F17521" w14:textId="77777777" w:rsidR="00363F3E" w:rsidRDefault="00363F3E" w:rsidP="00363F3E">
      <w:pPr>
        <w:pStyle w:val="next"/>
        <w:spacing w:after="0"/>
        <w:rPr>
          <w:bCs/>
          <w:szCs w:val="24"/>
        </w:rPr>
      </w:pPr>
    </w:p>
    <w:p w14:paraId="05AEFB97" w14:textId="6FAE1136" w:rsidR="00363F3E" w:rsidRPr="00363F3E" w:rsidRDefault="00363F3E" w:rsidP="00363F3E">
      <w:pPr>
        <w:pStyle w:val="next"/>
        <w:spacing w:after="0"/>
        <w:rPr>
          <w:bCs/>
          <w:szCs w:val="24"/>
        </w:rPr>
      </w:pPr>
      <w:r w:rsidRPr="00363F3E">
        <w:rPr>
          <w:bCs/>
          <w:szCs w:val="24"/>
        </w:rPr>
        <w:t xml:space="preserve">If candidates incorrectly disclose information </w:t>
      </w:r>
      <w:r>
        <w:rPr>
          <w:bCs/>
          <w:szCs w:val="24"/>
        </w:rPr>
        <w:t>on the application form</w:t>
      </w:r>
      <w:r w:rsidRPr="00363F3E">
        <w:rPr>
          <w:bCs/>
          <w:szCs w:val="24"/>
        </w:rPr>
        <w:t xml:space="preserve"> that we are not legally entitled to know about, this information will be disregarded and will not form part of any </w:t>
      </w:r>
      <w:proofErr w:type="gramStart"/>
      <w:r w:rsidRPr="00363F3E">
        <w:rPr>
          <w:bCs/>
          <w:szCs w:val="24"/>
        </w:rPr>
        <w:t>decision making</w:t>
      </w:r>
      <w:proofErr w:type="gramEnd"/>
      <w:r w:rsidRPr="00363F3E">
        <w:rPr>
          <w:bCs/>
          <w:szCs w:val="24"/>
        </w:rPr>
        <w:t xml:space="preserve"> process on the suitability for employment. </w:t>
      </w:r>
    </w:p>
    <w:p w14:paraId="24F6843B" w14:textId="77777777" w:rsidR="00363F3E" w:rsidRPr="00363F3E" w:rsidRDefault="00363F3E" w:rsidP="00363F3E">
      <w:pPr>
        <w:pStyle w:val="next"/>
        <w:spacing w:after="0"/>
        <w:rPr>
          <w:bCs/>
          <w:szCs w:val="24"/>
        </w:rPr>
      </w:pPr>
    </w:p>
    <w:p w14:paraId="24E0B93B" w14:textId="024CE453" w:rsidR="00363F3E" w:rsidRDefault="00363F3E" w:rsidP="00363F3E">
      <w:pPr>
        <w:pStyle w:val="next"/>
        <w:spacing w:after="0"/>
        <w:rPr>
          <w:bCs/>
          <w:szCs w:val="24"/>
        </w:rPr>
      </w:pPr>
      <w:r w:rsidRPr="00363F3E">
        <w:rPr>
          <w:bCs/>
          <w:szCs w:val="24"/>
        </w:rPr>
        <w:t>Where a candidate discloses offences</w:t>
      </w:r>
      <w:r w:rsidR="00F93577">
        <w:rPr>
          <w:bCs/>
          <w:szCs w:val="24"/>
        </w:rPr>
        <w:t xml:space="preserve"> </w:t>
      </w:r>
      <w:r w:rsidRPr="00363F3E">
        <w:rPr>
          <w:bCs/>
          <w:szCs w:val="24"/>
        </w:rPr>
        <w:t xml:space="preserve">that we are entitled to know about, applicants will be treated fairly and not discriminated unfairly against because of a conviction or other information revealed. </w:t>
      </w:r>
    </w:p>
    <w:p w14:paraId="551F796C" w14:textId="77777777" w:rsidR="00F93577" w:rsidRDefault="00F93577" w:rsidP="00363F3E">
      <w:pPr>
        <w:pStyle w:val="next"/>
        <w:spacing w:after="0"/>
        <w:rPr>
          <w:bCs/>
          <w:szCs w:val="24"/>
        </w:rPr>
      </w:pPr>
    </w:p>
    <w:p w14:paraId="1F4FF5CE" w14:textId="442CE872" w:rsidR="00F93577" w:rsidRDefault="00F93577" w:rsidP="00540DFE">
      <w:pPr>
        <w:pStyle w:val="ListParagraph"/>
        <w:numPr>
          <w:ilvl w:val="1"/>
          <w:numId w:val="1"/>
        </w:numPr>
        <w:rPr>
          <w:rFonts w:ascii="Arial Black" w:hAnsi="Arial Black"/>
          <w:b/>
          <w:bCs/>
          <w:color w:val="C00000"/>
        </w:rPr>
      </w:pPr>
      <w:r w:rsidRPr="00F93577">
        <w:rPr>
          <w:rFonts w:ascii="Arial Black" w:hAnsi="Arial Black"/>
          <w:b/>
          <w:bCs/>
          <w:color w:val="C00000"/>
        </w:rPr>
        <w:t>DBS at Pre-employment checks</w:t>
      </w:r>
    </w:p>
    <w:p w14:paraId="5A266FF3" w14:textId="77777777" w:rsidR="00F93577" w:rsidRDefault="00F93577" w:rsidP="00F93577">
      <w:pPr>
        <w:rPr>
          <w:rFonts w:ascii="Arial Black" w:hAnsi="Arial Black"/>
          <w:b/>
          <w:bCs/>
          <w:color w:val="C00000"/>
        </w:rPr>
      </w:pPr>
    </w:p>
    <w:p w14:paraId="172D571D" w14:textId="508AD190" w:rsidR="00F93D4E" w:rsidRDefault="00F93577" w:rsidP="00F93D4E">
      <w:pPr>
        <w:pStyle w:val="next"/>
        <w:spacing w:after="0"/>
        <w:rPr>
          <w:bCs/>
          <w:szCs w:val="24"/>
        </w:rPr>
      </w:pPr>
      <w:r w:rsidRPr="00F93D4E">
        <w:rPr>
          <w:bCs/>
          <w:szCs w:val="24"/>
        </w:rPr>
        <w:t xml:space="preserve">All candidates offered </w:t>
      </w:r>
      <w:r w:rsidR="00F93D4E" w:rsidRPr="00F93D4E">
        <w:rPr>
          <w:bCs/>
          <w:szCs w:val="24"/>
        </w:rPr>
        <w:t xml:space="preserve">employment will receive a </w:t>
      </w:r>
      <w:r w:rsidR="00F93D4E" w:rsidRPr="00F93D4E">
        <w:rPr>
          <w:b/>
          <w:szCs w:val="24"/>
        </w:rPr>
        <w:t>DBS Declaration Form</w:t>
      </w:r>
      <w:r w:rsidR="00F93D4E">
        <w:rPr>
          <w:b/>
          <w:szCs w:val="24"/>
        </w:rPr>
        <w:t xml:space="preserve"> </w:t>
      </w:r>
      <w:r w:rsidR="00F93D4E" w:rsidRPr="00F93D4E">
        <w:rPr>
          <w:bCs/>
          <w:szCs w:val="24"/>
        </w:rPr>
        <w:t>as part of their conditional offer, which they will</w:t>
      </w:r>
      <w:r w:rsidR="00F93D4E">
        <w:rPr>
          <w:b/>
          <w:szCs w:val="24"/>
        </w:rPr>
        <w:t xml:space="preserve"> </w:t>
      </w:r>
      <w:r w:rsidR="00F93D4E">
        <w:rPr>
          <w:bCs/>
          <w:szCs w:val="24"/>
        </w:rPr>
        <w:t xml:space="preserve">complete, sign and return. A DBS check will not be processed before receipt of this form. It will cover the DBS </w:t>
      </w:r>
      <w:r w:rsidR="00F93D4E" w:rsidRPr="00F93D4E">
        <w:rPr>
          <w:bCs/>
          <w:szCs w:val="24"/>
        </w:rPr>
        <w:t xml:space="preserve">Privacy Notice and </w:t>
      </w:r>
      <w:r w:rsidR="00F93D4E">
        <w:rPr>
          <w:bCs/>
          <w:szCs w:val="24"/>
        </w:rPr>
        <w:t xml:space="preserve">request </w:t>
      </w:r>
      <w:r w:rsidR="00F93D4E" w:rsidRPr="00F93D4E">
        <w:rPr>
          <w:bCs/>
          <w:szCs w:val="24"/>
        </w:rPr>
        <w:t>consent to share personal data</w:t>
      </w:r>
      <w:r w:rsidR="00F93D4E">
        <w:rPr>
          <w:bCs/>
          <w:szCs w:val="24"/>
        </w:rPr>
        <w:t xml:space="preserve"> with the Registered Body we are utilising. </w:t>
      </w:r>
    </w:p>
    <w:p w14:paraId="3A5662CC" w14:textId="77777777" w:rsidR="00F93D4E" w:rsidRDefault="00F93D4E" w:rsidP="00F93D4E">
      <w:pPr>
        <w:pStyle w:val="next"/>
        <w:spacing w:after="0"/>
        <w:rPr>
          <w:bCs/>
          <w:szCs w:val="24"/>
        </w:rPr>
      </w:pPr>
    </w:p>
    <w:p w14:paraId="1F873B9F" w14:textId="2AB1D21B" w:rsidR="00F93D4E" w:rsidRDefault="00F93D4E" w:rsidP="00F93D4E">
      <w:pPr>
        <w:pStyle w:val="next"/>
        <w:spacing w:after="0"/>
        <w:rPr>
          <w:bCs/>
          <w:szCs w:val="24"/>
        </w:rPr>
      </w:pPr>
      <w:r>
        <w:rPr>
          <w:bCs/>
          <w:szCs w:val="24"/>
        </w:rPr>
        <w:t xml:space="preserve">If there is a positive disclosure on the DBS check, meaning a conviction or caution has come up at filtering, this must be addressed as soon as possible and resolved before an unconditional offer and/or contract of employment is issued. </w:t>
      </w:r>
    </w:p>
    <w:p w14:paraId="6A5BE580" w14:textId="6291ABC6" w:rsidR="00F93D4E" w:rsidRDefault="00F93D4E" w:rsidP="00F93D4E">
      <w:pPr>
        <w:pStyle w:val="next"/>
        <w:spacing w:after="0"/>
        <w:rPr>
          <w:bCs/>
          <w:szCs w:val="24"/>
        </w:rPr>
      </w:pPr>
    </w:p>
    <w:p w14:paraId="1072C881" w14:textId="2F52B731" w:rsidR="00FD5ED5" w:rsidRDefault="00FD5ED5" w:rsidP="00540DFE">
      <w:pPr>
        <w:pStyle w:val="ListParagraph"/>
        <w:numPr>
          <w:ilvl w:val="1"/>
          <w:numId w:val="1"/>
        </w:numPr>
        <w:rPr>
          <w:rFonts w:ascii="Arial Black" w:hAnsi="Arial Black"/>
          <w:b/>
          <w:bCs/>
          <w:color w:val="C00000"/>
        </w:rPr>
      </w:pPr>
      <w:r>
        <w:rPr>
          <w:rFonts w:ascii="Arial Black" w:hAnsi="Arial Black"/>
          <w:b/>
          <w:bCs/>
          <w:color w:val="C00000"/>
        </w:rPr>
        <w:t xml:space="preserve">Handling DBS Certificates </w:t>
      </w:r>
    </w:p>
    <w:p w14:paraId="3F73EE3E" w14:textId="77777777" w:rsidR="00FD5ED5" w:rsidRDefault="00FD5ED5" w:rsidP="00FD5ED5">
      <w:pPr>
        <w:pStyle w:val="next"/>
        <w:spacing w:after="0"/>
        <w:rPr>
          <w:bCs/>
          <w:szCs w:val="24"/>
        </w:rPr>
      </w:pPr>
    </w:p>
    <w:p w14:paraId="23E99B2D" w14:textId="60315AC9" w:rsidR="00FD5ED5" w:rsidRPr="00FD5ED5" w:rsidRDefault="00FD5ED5" w:rsidP="00FD5ED5">
      <w:pPr>
        <w:pStyle w:val="next"/>
        <w:spacing w:after="0"/>
        <w:rPr>
          <w:bCs/>
          <w:szCs w:val="24"/>
        </w:rPr>
      </w:pPr>
      <w:r w:rsidRPr="00FD5ED5">
        <w:rPr>
          <w:bCs/>
          <w:szCs w:val="24"/>
        </w:rPr>
        <w:t xml:space="preserve">Under no circumstances, should managers copy, scan, transcribe or email a DBS certificate. This is unlawful practice and if this occurs, the incident will be recorded as a data breach. If the DBS certificate contains criminal offence information, managers should discuss the incident (s) with the individual and complete the risk </w:t>
      </w:r>
      <w:r>
        <w:rPr>
          <w:bCs/>
          <w:szCs w:val="24"/>
        </w:rPr>
        <w:t xml:space="preserve">assessment, as detailed at </w:t>
      </w:r>
      <w:r w:rsidRPr="00FD5ED5">
        <w:rPr>
          <w:b/>
          <w:szCs w:val="24"/>
        </w:rPr>
        <w:t>6.4.</w:t>
      </w:r>
      <w:r>
        <w:rPr>
          <w:bCs/>
          <w:szCs w:val="24"/>
        </w:rPr>
        <w:t xml:space="preserve"> </w:t>
      </w:r>
    </w:p>
    <w:p w14:paraId="6C938938" w14:textId="77777777" w:rsidR="00FD5ED5" w:rsidRPr="00FD5ED5" w:rsidRDefault="00FD5ED5" w:rsidP="00FD5ED5">
      <w:pPr>
        <w:rPr>
          <w:rFonts w:ascii="Arial Black" w:hAnsi="Arial Black"/>
          <w:b/>
          <w:bCs/>
          <w:color w:val="C00000"/>
        </w:rPr>
      </w:pPr>
    </w:p>
    <w:p w14:paraId="450C9BE6" w14:textId="6052ECD6" w:rsidR="00F93D4E" w:rsidRPr="000A43F9" w:rsidRDefault="00F93D4E" w:rsidP="00540DFE">
      <w:pPr>
        <w:pStyle w:val="Heading3"/>
        <w:numPr>
          <w:ilvl w:val="0"/>
          <w:numId w:val="1"/>
        </w:numPr>
        <w:tabs>
          <w:tab w:val="num" w:pos="405"/>
        </w:tabs>
        <w:ind w:left="405" w:hanging="405"/>
        <w:rPr>
          <w:rStyle w:val="Hyperlink"/>
          <w:rFonts w:ascii="Arial Black" w:hAnsi="Arial Black"/>
          <w:sz w:val="28"/>
          <w:szCs w:val="28"/>
        </w:rPr>
      </w:pPr>
      <w:bookmarkStart w:id="24" w:name="_Toc210990750"/>
      <w:r w:rsidRPr="000A43F9">
        <w:rPr>
          <w:rStyle w:val="Hyperlink"/>
          <w:rFonts w:ascii="Arial Black" w:hAnsi="Arial Black"/>
          <w:sz w:val="28"/>
          <w:szCs w:val="28"/>
        </w:rPr>
        <w:t xml:space="preserve">Positive Disclosure and Risk Assessment </w:t>
      </w:r>
      <w:r w:rsidR="000A43F9">
        <w:rPr>
          <w:rStyle w:val="Hyperlink"/>
          <w:rFonts w:ascii="Arial Black" w:hAnsi="Arial Black"/>
          <w:sz w:val="28"/>
          <w:szCs w:val="28"/>
        </w:rPr>
        <w:t>- Process</w:t>
      </w:r>
      <w:bookmarkEnd w:id="24"/>
    </w:p>
    <w:p w14:paraId="4F51DBB8" w14:textId="77777777" w:rsidR="00F93D4E" w:rsidRPr="00F93D4E" w:rsidRDefault="00F93D4E" w:rsidP="00F93D4E">
      <w:pPr>
        <w:pStyle w:val="next"/>
        <w:spacing w:after="0"/>
        <w:rPr>
          <w:bCs/>
          <w:szCs w:val="24"/>
        </w:rPr>
      </w:pPr>
    </w:p>
    <w:p w14:paraId="6671A92E" w14:textId="2941FD5C" w:rsidR="00F93D4E" w:rsidRDefault="00F93D4E" w:rsidP="00540DFE">
      <w:pPr>
        <w:pStyle w:val="next"/>
        <w:numPr>
          <w:ilvl w:val="0"/>
          <w:numId w:val="8"/>
        </w:numPr>
        <w:spacing w:after="0"/>
        <w:rPr>
          <w:bCs/>
          <w:szCs w:val="24"/>
        </w:rPr>
      </w:pPr>
      <w:r>
        <w:rPr>
          <w:bCs/>
          <w:szCs w:val="24"/>
        </w:rPr>
        <w:t>Where a positive disclosure comes up on a DBS check, the Resourcing team will initially contact the candidate to make them aware. The team will also reassure the candidate and ensure they are clear on the next steps of the process.</w:t>
      </w:r>
      <w:r w:rsidR="00765ABB">
        <w:rPr>
          <w:bCs/>
          <w:szCs w:val="24"/>
        </w:rPr>
        <w:t xml:space="preserve"> The candidate will be encouraged to be open and honest about the conviction or caution. </w:t>
      </w:r>
    </w:p>
    <w:p w14:paraId="67D6C8DF" w14:textId="77777777" w:rsidR="00765ABB" w:rsidRDefault="00765ABB" w:rsidP="00765ABB">
      <w:pPr>
        <w:pStyle w:val="next"/>
        <w:spacing w:after="0"/>
        <w:ind w:left="720"/>
        <w:rPr>
          <w:bCs/>
          <w:szCs w:val="24"/>
        </w:rPr>
      </w:pPr>
    </w:p>
    <w:p w14:paraId="6A3E1F3D" w14:textId="1C4011F6" w:rsidR="00F93D4E" w:rsidRDefault="00F93D4E" w:rsidP="00540DFE">
      <w:pPr>
        <w:pStyle w:val="next"/>
        <w:numPr>
          <w:ilvl w:val="0"/>
          <w:numId w:val="8"/>
        </w:numPr>
        <w:spacing w:after="0"/>
        <w:rPr>
          <w:bCs/>
          <w:szCs w:val="24"/>
        </w:rPr>
      </w:pPr>
      <w:r>
        <w:rPr>
          <w:bCs/>
          <w:szCs w:val="24"/>
        </w:rPr>
        <w:lastRenderedPageBreak/>
        <w:t xml:space="preserve">The Resourcing team will then contact the relevant recruiting manager to make them aware and explain the Risk Assessment process to them. For On-Call, this will be the Station Manager to support </w:t>
      </w:r>
      <w:r w:rsidR="00765ABB">
        <w:rPr>
          <w:bCs/>
          <w:szCs w:val="24"/>
        </w:rPr>
        <w:t xml:space="preserve">and maintain </w:t>
      </w:r>
      <w:r>
        <w:rPr>
          <w:bCs/>
          <w:szCs w:val="24"/>
        </w:rPr>
        <w:t xml:space="preserve">confidentiality. </w:t>
      </w:r>
    </w:p>
    <w:p w14:paraId="2C5A19BB" w14:textId="77777777" w:rsidR="00765ABB" w:rsidRDefault="00765ABB" w:rsidP="00765ABB">
      <w:pPr>
        <w:pStyle w:val="next"/>
        <w:spacing w:after="0"/>
        <w:rPr>
          <w:bCs/>
          <w:szCs w:val="24"/>
        </w:rPr>
      </w:pPr>
    </w:p>
    <w:p w14:paraId="782738A0" w14:textId="22323E0F" w:rsidR="00F93D4E" w:rsidRDefault="00F93D4E" w:rsidP="00540DFE">
      <w:pPr>
        <w:pStyle w:val="next"/>
        <w:numPr>
          <w:ilvl w:val="0"/>
          <w:numId w:val="8"/>
        </w:numPr>
        <w:spacing w:after="0"/>
        <w:rPr>
          <w:bCs/>
          <w:szCs w:val="24"/>
        </w:rPr>
      </w:pPr>
      <w:r>
        <w:rPr>
          <w:bCs/>
          <w:szCs w:val="24"/>
        </w:rPr>
        <w:t xml:space="preserve">No other managers or staff should be made aware of the positive disclosure, it must be treated with absolute confidence, as the wider sharing of this can cause discrimination </w:t>
      </w:r>
      <w:r w:rsidR="00765ABB">
        <w:rPr>
          <w:bCs/>
          <w:szCs w:val="24"/>
        </w:rPr>
        <w:t xml:space="preserve">for the candidate. Anyone sharing information about DBS checks will be subject to the disciplinary procedure. </w:t>
      </w:r>
      <w:r>
        <w:rPr>
          <w:bCs/>
          <w:szCs w:val="24"/>
        </w:rPr>
        <w:t xml:space="preserve"> </w:t>
      </w:r>
    </w:p>
    <w:p w14:paraId="71C3AA5F" w14:textId="77777777" w:rsidR="00765ABB" w:rsidRDefault="00765ABB" w:rsidP="00765ABB">
      <w:pPr>
        <w:pStyle w:val="next"/>
        <w:spacing w:after="0"/>
        <w:ind w:left="720"/>
        <w:rPr>
          <w:bCs/>
          <w:szCs w:val="24"/>
        </w:rPr>
      </w:pPr>
    </w:p>
    <w:p w14:paraId="4399D7B6" w14:textId="16362287" w:rsidR="00765ABB" w:rsidRDefault="00765ABB" w:rsidP="00540DFE">
      <w:pPr>
        <w:pStyle w:val="next"/>
        <w:numPr>
          <w:ilvl w:val="0"/>
          <w:numId w:val="8"/>
        </w:numPr>
        <w:spacing w:after="0"/>
        <w:rPr>
          <w:bCs/>
          <w:szCs w:val="24"/>
        </w:rPr>
      </w:pPr>
      <w:r>
        <w:rPr>
          <w:bCs/>
          <w:szCs w:val="24"/>
        </w:rPr>
        <w:t xml:space="preserve">The Resourcing team will check the candidate’s application form to see if there has been an initial disclosure. It is important </w:t>
      </w:r>
      <w:r w:rsidRPr="00765ABB">
        <w:rPr>
          <w:b/>
          <w:szCs w:val="24"/>
        </w:rPr>
        <w:t>not to withdraw</w:t>
      </w:r>
      <w:r>
        <w:rPr>
          <w:bCs/>
          <w:szCs w:val="24"/>
        </w:rPr>
        <w:t xml:space="preserve"> an offer of employment based on this one factor alone; there is still immense stigma around Ex-</w:t>
      </w:r>
      <w:proofErr w:type="gramStart"/>
      <w:r>
        <w:rPr>
          <w:bCs/>
          <w:szCs w:val="24"/>
        </w:rPr>
        <w:t>Offenders</w:t>
      </w:r>
      <w:proofErr w:type="gramEnd"/>
      <w:r>
        <w:rPr>
          <w:bCs/>
          <w:szCs w:val="24"/>
        </w:rPr>
        <w:t xml:space="preserve"> and we need to be a supportive employer. </w:t>
      </w:r>
    </w:p>
    <w:p w14:paraId="698B4C7E" w14:textId="77777777" w:rsidR="00765ABB" w:rsidRDefault="00765ABB" w:rsidP="00765ABB">
      <w:pPr>
        <w:pStyle w:val="ListParagraph"/>
        <w:rPr>
          <w:bCs/>
        </w:rPr>
      </w:pPr>
    </w:p>
    <w:p w14:paraId="21B4F4EC" w14:textId="6F14D620" w:rsidR="00765ABB" w:rsidRDefault="00765ABB" w:rsidP="00540DFE">
      <w:pPr>
        <w:pStyle w:val="next"/>
        <w:numPr>
          <w:ilvl w:val="0"/>
          <w:numId w:val="8"/>
        </w:numPr>
        <w:spacing w:after="0"/>
        <w:rPr>
          <w:bCs/>
          <w:szCs w:val="24"/>
        </w:rPr>
      </w:pPr>
      <w:r>
        <w:rPr>
          <w:bCs/>
          <w:szCs w:val="24"/>
        </w:rPr>
        <w:t xml:space="preserve">The Resourcing team will send the manager the </w:t>
      </w:r>
      <w:r w:rsidR="00B82B3C">
        <w:rPr>
          <w:bCs/>
          <w:szCs w:val="24"/>
        </w:rPr>
        <w:t xml:space="preserve">Positive Disclosure </w:t>
      </w:r>
      <w:r>
        <w:rPr>
          <w:bCs/>
          <w:szCs w:val="24"/>
        </w:rPr>
        <w:t xml:space="preserve">Risk Assessment template to complete with the candidate. Often, the candidate will need to wait for their DBS certificate to be received (usually in the post) to provide the exact detail. </w:t>
      </w:r>
    </w:p>
    <w:p w14:paraId="3624CA7E" w14:textId="77777777" w:rsidR="00765ABB" w:rsidRDefault="00765ABB" w:rsidP="00765ABB">
      <w:pPr>
        <w:pStyle w:val="ListParagraph"/>
        <w:rPr>
          <w:bCs/>
        </w:rPr>
      </w:pPr>
    </w:p>
    <w:p w14:paraId="5F1693B7" w14:textId="77777777" w:rsidR="00B82B3C" w:rsidRDefault="00765ABB" w:rsidP="00540DFE">
      <w:pPr>
        <w:pStyle w:val="next"/>
        <w:numPr>
          <w:ilvl w:val="0"/>
          <w:numId w:val="8"/>
        </w:numPr>
        <w:spacing w:after="0"/>
        <w:rPr>
          <w:bCs/>
          <w:szCs w:val="24"/>
        </w:rPr>
      </w:pPr>
      <w:r>
        <w:rPr>
          <w:bCs/>
          <w:szCs w:val="24"/>
        </w:rPr>
        <w:t xml:space="preserve">The Manager can view the DBS certificate but cannot, under no circumstances, take a copy of the certificate.  </w:t>
      </w:r>
    </w:p>
    <w:p w14:paraId="002DCDEB" w14:textId="77777777" w:rsidR="00B82B3C" w:rsidRDefault="00B82B3C" w:rsidP="00B82B3C">
      <w:pPr>
        <w:pStyle w:val="ListParagraph"/>
        <w:rPr>
          <w:bCs/>
        </w:rPr>
      </w:pPr>
    </w:p>
    <w:p w14:paraId="18E59BDE" w14:textId="77777777" w:rsidR="00B82B3C" w:rsidRDefault="00F93D4E" w:rsidP="00540DFE">
      <w:pPr>
        <w:pStyle w:val="next"/>
        <w:numPr>
          <w:ilvl w:val="0"/>
          <w:numId w:val="8"/>
        </w:numPr>
        <w:spacing w:after="0"/>
        <w:rPr>
          <w:bCs/>
          <w:szCs w:val="24"/>
        </w:rPr>
      </w:pPr>
      <w:r w:rsidRPr="00B82B3C">
        <w:rPr>
          <w:bCs/>
          <w:szCs w:val="24"/>
        </w:rPr>
        <w:t xml:space="preserve">Once the manager has completed the risk assessment details, it should be </w:t>
      </w:r>
      <w:r w:rsidR="00B82B3C">
        <w:rPr>
          <w:bCs/>
          <w:szCs w:val="24"/>
        </w:rPr>
        <w:t>sent back to Resourcing who will review the information, sign, and then send to the relevant members of SLT</w:t>
      </w:r>
      <w:r w:rsidRPr="00F93D4E">
        <w:rPr>
          <w:bCs/>
          <w:szCs w:val="24"/>
        </w:rPr>
        <w:t xml:space="preserve"> An offer of employment will be withdrawn if the risk </w:t>
      </w:r>
      <w:r w:rsidRPr="00B82B3C">
        <w:rPr>
          <w:bCs/>
          <w:szCs w:val="24"/>
        </w:rPr>
        <w:t>assessment indicates the appointment is unsuitable due to the nature of the incident in questio</w:t>
      </w:r>
      <w:r w:rsidR="00B82B3C">
        <w:rPr>
          <w:bCs/>
          <w:szCs w:val="24"/>
        </w:rPr>
        <w:t>n.</w:t>
      </w:r>
    </w:p>
    <w:p w14:paraId="3B994A59" w14:textId="77777777" w:rsidR="00B82B3C" w:rsidRDefault="00B82B3C" w:rsidP="00B82B3C">
      <w:pPr>
        <w:pStyle w:val="ListParagraph"/>
        <w:rPr>
          <w:bCs/>
        </w:rPr>
      </w:pPr>
    </w:p>
    <w:p w14:paraId="5F22CC3A" w14:textId="77777777" w:rsidR="00B82B3C" w:rsidRDefault="00B82B3C" w:rsidP="00540DFE">
      <w:pPr>
        <w:pStyle w:val="next"/>
        <w:numPr>
          <w:ilvl w:val="0"/>
          <w:numId w:val="8"/>
        </w:numPr>
        <w:spacing w:after="0"/>
        <w:rPr>
          <w:bCs/>
          <w:szCs w:val="24"/>
        </w:rPr>
      </w:pPr>
      <w:r>
        <w:rPr>
          <w:bCs/>
          <w:szCs w:val="24"/>
        </w:rPr>
        <w:t xml:space="preserve">The member of SLT </w:t>
      </w:r>
      <w:r w:rsidR="00F93D4E" w:rsidRPr="00B82B3C">
        <w:rPr>
          <w:bCs/>
          <w:szCs w:val="24"/>
        </w:rPr>
        <w:t xml:space="preserve">has responsibility for making this decision following advice from </w:t>
      </w:r>
      <w:r>
        <w:rPr>
          <w:bCs/>
          <w:szCs w:val="24"/>
        </w:rPr>
        <w:t xml:space="preserve">Resourcing and/or HR. </w:t>
      </w:r>
    </w:p>
    <w:p w14:paraId="5501AE07" w14:textId="77777777" w:rsidR="00B82B3C" w:rsidRDefault="00B82B3C" w:rsidP="00B82B3C">
      <w:pPr>
        <w:pStyle w:val="ListParagraph"/>
        <w:rPr>
          <w:bCs/>
        </w:rPr>
      </w:pPr>
    </w:p>
    <w:p w14:paraId="6B59A2B8" w14:textId="18BAB8BE" w:rsidR="00F93D4E" w:rsidRPr="00FD5ED5" w:rsidRDefault="00F93D4E" w:rsidP="00540DFE">
      <w:pPr>
        <w:pStyle w:val="next"/>
        <w:numPr>
          <w:ilvl w:val="0"/>
          <w:numId w:val="8"/>
        </w:numPr>
        <w:spacing w:after="0"/>
        <w:rPr>
          <w:bCs/>
          <w:szCs w:val="24"/>
        </w:rPr>
      </w:pPr>
      <w:r w:rsidRPr="00B82B3C">
        <w:rPr>
          <w:bCs/>
          <w:szCs w:val="24"/>
        </w:rPr>
        <w:t xml:space="preserve">All </w:t>
      </w:r>
      <w:r w:rsidR="00B82B3C">
        <w:rPr>
          <w:bCs/>
          <w:szCs w:val="24"/>
        </w:rPr>
        <w:t xml:space="preserve">members of SLT </w:t>
      </w:r>
      <w:r w:rsidRPr="00B82B3C">
        <w:rPr>
          <w:bCs/>
          <w:szCs w:val="24"/>
        </w:rPr>
        <w:t>will have received appropriate training, updated on an annual basis on</w:t>
      </w:r>
      <w:r w:rsidR="00FD5ED5">
        <w:rPr>
          <w:bCs/>
          <w:szCs w:val="24"/>
        </w:rPr>
        <w:t xml:space="preserve"> </w:t>
      </w:r>
      <w:r w:rsidRPr="00FD5ED5">
        <w:rPr>
          <w:bCs/>
          <w:szCs w:val="24"/>
        </w:rPr>
        <w:t>carrying out risk assessments and assessing an individual’s suitability for employment where there is cause for concern about that individual working with children and/or vulnerable adults</w:t>
      </w:r>
    </w:p>
    <w:p w14:paraId="70BB7A86" w14:textId="77777777" w:rsidR="00F93D4E" w:rsidRDefault="00F93D4E" w:rsidP="00F93D4E">
      <w:pPr>
        <w:pStyle w:val="next"/>
        <w:spacing w:after="0"/>
        <w:rPr>
          <w:bCs/>
          <w:szCs w:val="24"/>
        </w:rPr>
      </w:pPr>
    </w:p>
    <w:p w14:paraId="4D1FEF82" w14:textId="77777777" w:rsidR="00F93D4E" w:rsidRPr="00F93D4E" w:rsidRDefault="00F93D4E" w:rsidP="00F93D4E">
      <w:pPr>
        <w:pStyle w:val="next"/>
        <w:spacing w:after="0"/>
        <w:rPr>
          <w:bCs/>
          <w:szCs w:val="24"/>
        </w:rPr>
      </w:pPr>
    </w:p>
    <w:p w14:paraId="5DA82B38" w14:textId="47C62BFE" w:rsidR="00FD5ED5" w:rsidRDefault="00FD5ED5" w:rsidP="00540DFE">
      <w:pPr>
        <w:pStyle w:val="Heading3"/>
        <w:numPr>
          <w:ilvl w:val="0"/>
          <w:numId w:val="1"/>
        </w:numPr>
        <w:tabs>
          <w:tab w:val="num" w:pos="405"/>
        </w:tabs>
        <w:ind w:left="405" w:hanging="405"/>
        <w:rPr>
          <w:rStyle w:val="Hyperlink"/>
          <w:rFonts w:ascii="Arial Black" w:hAnsi="Arial Black"/>
          <w:b/>
          <w:sz w:val="28"/>
          <w:szCs w:val="28"/>
        </w:rPr>
      </w:pPr>
      <w:bookmarkStart w:id="25" w:name="_Toc210990751"/>
      <w:r>
        <w:rPr>
          <w:rStyle w:val="Hyperlink"/>
          <w:rFonts w:ascii="Arial Black" w:hAnsi="Arial Black"/>
          <w:b/>
          <w:sz w:val="28"/>
          <w:szCs w:val="28"/>
        </w:rPr>
        <w:t>DBS Data Handling, Use, Storage, Retention, and Disposal</w:t>
      </w:r>
      <w:bookmarkEnd w:id="25"/>
      <w:r>
        <w:rPr>
          <w:rStyle w:val="Hyperlink"/>
          <w:rFonts w:ascii="Arial Black" w:hAnsi="Arial Black"/>
          <w:b/>
          <w:sz w:val="28"/>
          <w:szCs w:val="28"/>
        </w:rPr>
        <w:t xml:space="preserve"> </w:t>
      </w:r>
    </w:p>
    <w:p w14:paraId="4918C9E8" w14:textId="77777777" w:rsidR="00FD5ED5" w:rsidRDefault="00FD5ED5" w:rsidP="00FD5ED5"/>
    <w:p w14:paraId="73AA339C" w14:textId="77777777" w:rsidR="00FD5ED5" w:rsidRPr="00FD5ED5" w:rsidRDefault="00FD5ED5" w:rsidP="00540DFE">
      <w:pPr>
        <w:pStyle w:val="ListParagraph"/>
        <w:numPr>
          <w:ilvl w:val="1"/>
          <w:numId w:val="1"/>
        </w:numPr>
        <w:rPr>
          <w:rFonts w:ascii="Arial Black" w:hAnsi="Arial Black"/>
          <w:b/>
          <w:bCs/>
          <w:color w:val="C00000"/>
        </w:rPr>
      </w:pPr>
      <w:r w:rsidRPr="00FD5ED5">
        <w:rPr>
          <w:rFonts w:ascii="Arial Black" w:hAnsi="Arial Black"/>
          <w:b/>
          <w:bCs/>
          <w:color w:val="C00000"/>
        </w:rPr>
        <w:t>General principles</w:t>
      </w:r>
    </w:p>
    <w:p w14:paraId="638AE0FB" w14:textId="77777777" w:rsidR="00FD5ED5" w:rsidRPr="00FF5DFC" w:rsidRDefault="00FD5ED5" w:rsidP="00FD5ED5">
      <w:pPr>
        <w:pStyle w:val="SubHead"/>
        <w:rPr>
          <w:rFonts w:ascii="Arial" w:hAnsi="Arial" w:cs="Arial"/>
          <w:b w:val="0"/>
          <w:bCs/>
          <w:color w:val="0082AA"/>
          <w:sz w:val="24"/>
          <w:szCs w:val="28"/>
        </w:rPr>
      </w:pPr>
    </w:p>
    <w:p w14:paraId="61E5DA05" w14:textId="09FBF049" w:rsidR="00FD5ED5" w:rsidRDefault="00FD5ED5" w:rsidP="00FD5ED5">
      <w:pPr>
        <w:spacing w:line="240" w:lineRule="auto"/>
        <w:rPr>
          <w:rFonts w:cs="Arial"/>
          <w:lang w:val="en"/>
        </w:rPr>
      </w:pPr>
      <w:r w:rsidRPr="00AD7D36">
        <w:rPr>
          <w:rFonts w:cs="Arial"/>
          <w:lang w:val="en"/>
        </w:rPr>
        <w:t xml:space="preserve">As an </w:t>
      </w:r>
      <w:proofErr w:type="spellStart"/>
      <w:r w:rsidRPr="00AD7D36">
        <w:rPr>
          <w:rFonts w:cs="Arial"/>
          <w:lang w:val="en"/>
        </w:rPr>
        <w:t>organisation</w:t>
      </w:r>
      <w:proofErr w:type="spellEnd"/>
      <w:r w:rsidRPr="00AD7D36">
        <w:rPr>
          <w:rFonts w:cs="Arial"/>
          <w:lang w:val="en"/>
        </w:rPr>
        <w:t xml:space="preserve"> using the Disclosure and Barring Service (DBS) to help assess the suitability of applicants for positions of trust, </w:t>
      </w:r>
      <w:r>
        <w:rPr>
          <w:rFonts w:cs="Arial"/>
          <w:lang w:val="en"/>
        </w:rPr>
        <w:t>CFRS</w:t>
      </w:r>
      <w:r w:rsidRPr="002C0187">
        <w:rPr>
          <w:rFonts w:cs="Arial"/>
          <w:lang w:val="en"/>
        </w:rPr>
        <w:t xml:space="preserve"> </w:t>
      </w:r>
      <w:r>
        <w:rPr>
          <w:rFonts w:cs="Arial"/>
          <w:lang w:val="en"/>
        </w:rPr>
        <w:t>is required to fully comply</w:t>
      </w:r>
      <w:r w:rsidRPr="00AD7D36">
        <w:rPr>
          <w:rFonts w:cs="Arial"/>
          <w:lang w:val="en"/>
        </w:rPr>
        <w:t xml:space="preserve"> with the code of practice regarding the correct handling, use, storage, retention and disposal of certificates and certificate information.</w:t>
      </w:r>
    </w:p>
    <w:p w14:paraId="49E9CDAE" w14:textId="77777777" w:rsidR="00FD5ED5" w:rsidRPr="00AD7D36" w:rsidRDefault="00FD5ED5" w:rsidP="00FD5ED5">
      <w:pPr>
        <w:spacing w:line="240" w:lineRule="auto"/>
        <w:rPr>
          <w:rFonts w:cs="Arial"/>
          <w:lang w:val="en"/>
        </w:rPr>
      </w:pPr>
    </w:p>
    <w:p w14:paraId="29845A37" w14:textId="4FD2688F" w:rsidR="00FD5ED5" w:rsidRDefault="00FD5ED5" w:rsidP="00FD5ED5">
      <w:pPr>
        <w:spacing w:line="240" w:lineRule="auto"/>
        <w:rPr>
          <w:rFonts w:cs="Arial"/>
          <w:lang w:val="en"/>
        </w:rPr>
      </w:pPr>
      <w:r>
        <w:rPr>
          <w:rFonts w:cs="Arial"/>
          <w:lang w:val="en"/>
        </w:rPr>
        <w:t>CFRS</w:t>
      </w:r>
      <w:r>
        <w:rPr>
          <w:rFonts w:cs="Arial"/>
          <w:lang w:val="en"/>
        </w:rPr>
        <w:t xml:space="preserve"> is also required to comply </w:t>
      </w:r>
      <w:r w:rsidRPr="00AD7D36">
        <w:rPr>
          <w:rFonts w:cs="Arial"/>
          <w:lang w:val="en"/>
        </w:rPr>
        <w:t xml:space="preserve">fully with its obligations under the </w:t>
      </w:r>
      <w:r>
        <w:rPr>
          <w:rFonts w:cs="Arial"/>
          <w:lang w:val="en"/>
        </w:rPr>
        <w:t xml:space="preserve">General Data Protection Regulations 2016 </w:t>
      </w:r>
      <w:r w:rsidRPr="00AD7D36">
        <w:rPr>
          <w:rFonts w:cs="Arial"/>
          <w:lang w:val="en"/>
        </w:rPr>
        <w:t xml:space="preserve">and other relevant legislation pertaining to the safe handling, use, storage, retention and disposal of </w:t>
      </w:r>
      <w:r>
        <w:rPr>
          <w:rFonts w:cs="Arial"/>
          <w:lang w:val="en"/>
        </w:rPr>
        <w:t xml:space="preserve">DBS </w:t>
      </w:r>
      <w:r w:rsidRPr="00AD7D36">
        <w:rPr>
          <w:rFonts w:cs="Arial"/>
          <w:lang w:val="en"/>
        </w:rPr>
        <w:t>certificate information</w:t>
      </w:r>
      <w:r>
        <w:rPr>
          <w:rFonts w:cs="Arial"/>
          <w:lang w:val="en"/>
        </w:rPr>
        <w:t>.</w:t>
      </w:r>
    </w:p>
    <w:p w14:paraId="5585A6D4" w14:textId="77777777" w:rsidR="00FD5ED5" w:rsidRPr="00470C56" w:rsidRDefault="00FD5ED5" w:rsidP="00FD5ED5">
      <w:pPr>
        <w:spacing w:line="240" w:lineRule="auto"/>
        <w:rPr>
          <w:rFonts w:cs="Arial"/>
          <w:lang w:val="en"/>
        </w:rPr>
      </w:pPr>
    </w:p>
    <w:p w14:paraId="035DEB5C" w14:textId="77777777" w:rsidR="00FD5ED5" w:rsidRPr="00FD5ED5" w:rsidRDefault="00FD5ED5" w:rsidP="00540DFE">
      <w:pPr>
        <w:pStyle w:val="ListParagraph"/>
        <w:numPr>
          <w:ilvl w:val="1"/>
          <w:numId w:val="1"/>
        </w:numPr>
        <w:rPr>
          <w:rFonts w:ascii="Arial Black" w:hAnsi="Arial Black"/>
          <w:b/>
          <w:bCs/>
          <w:color w:val="C00000"/>
        </w:rPr>
      </w:pPr>
      <w:r w:rsidRPr="00FD5ED5">
        <w:rPr>
          <w:rFonts w:ascii="Arial Black" w:hAnsi="Arial Black"/>
          <w:b/>
          <w:bCs/>
          <w:color w:val="C00000"/>
        </w:rPr>
        <w:lastRenderedPageBreak/>
        <w:t>Storage and access</w:t>
      </w:r>
    </w:p>
    <w:p w14:paraId="451AE1D1" w14:textId="77777777" w:rsidR="00FD5ED5" w:rsidRPr="00FF5DFC" w:rsidRDefault="00FD5ED5" w:rsidP="00FD5ED5">
      <w:pPr>
        <w:pStyle w:val="SubHead"/>
        <w:rPr>
          <w:rFonts w:ascii="Arial" w:hAnsi="Arial" w:cs="Arial"/>
          <w:b w:val="0"/>
          <w:bCs/>
          <w:color w:val="0082AA"/>
          <w:sz w:val="24"/>
          <w:szCs w:val="28"/>
        </w:rPr>
      </w:pPr>
    </w:p>
    <w:p w14:paraId="3355EE03" w14:textId="1FE13973" w:rsidR="00FD5ED5" w:rsidRDefault="00FD5ED5" w:rsidP="00FD5ED5">
      <w:pPr>
        <w:spacing w:line="240" w:lineRule="auto"/>
        <w:rPr>
          <w:rFonts w:cs="Arial"/>
          <w:lang w:val="en"/>
        </w:rPr>
      </w:pPr>
      <w:r w:rsidRPr="00AD7D36">
        <w:rPr>
          <w:rFonts w:cs="Arial"/>
          <w:lang w:val="en"/>
        </w:rPr>
        <w:t>Certifi</w:t>
      </w:r>
      <w:r>
        <w:rPr>
          <w:rFonts w:cs="Arial"/>
          <w:lang w:val="en"/>
        </w:rPr>
        <w:t xml:space="preserve">cate information should be held </w:t>
      </w:r>
      <w:r w:rsidRPr="00AD7D36">
        <w:rPr>
          <w:rFonts w:cs="Arial"/>
          <w:lang w:val="en"/>
        </w:rPr>
        <w:t>securely, in lockable, non-portable, storage containers with access strictly controlled and limited to those who are entitled to see it as part of their duties.</w:t>
      </w:r>
      <w:r>
        <w:rPr>
          <w:rFonts w:cs="Arial"/>
          <w:lang w:val="en"/>
        </w:rPr>
        <w:t xml:space="preserve"> This is limited to those who are required to verify the receipt of the DBS certificate (e.g. recruiting managers) and those required to assist in assessing an individual’s suitability for employment/ engagement following the receipt of a DBS certificate (e.g. </w:t>
      </w:r>
      <w:r>
        <w:rPr>
          <w:rFonts w:cs="Arial"/>
          <w:lang w:val="en"/>
        </w:rPr>
        <w:t xml:space="preserve">Principal officers and Resourcing). </w:t>
      </w:r>
    </w:p>
    <w:p w14:paraId="0298AFD4" w14:textId="77777777" w:rsidR="00FD5ED5" w:rsidRPr="00470C56" w:rsidRDefault="00FD5ED5" w:rsidP="00FD5ED5">
      <w:pPr>
        <w:spacing w:line="240" w:lineRule="auto"/>
        <w:rPr>
          <w:rFonts w:cs="Arial"/>
          <w:lang w:val="en"/>
        </w:rPr>
      </w:pPr>
    </w:p>
    <w:p w14:paraId="369DF71D" w14:textId="77777777" w:rsidR="00FD5ED5" w:rsidRPr="00FD5ED5" w:rsidRDefault="00FD5ED5" w:rsidP="00540DFE">
      <w:pPr>
        <w:pStyle w:val="ListParagraph"/>
        <w:numPr>
          <w:ilvl w:val="1"/>
          <w:numId w:val="1"/>
        </w:numPr>
        <w:rPr>
          <w:rFonts w:ascii="Arial Black" w:hAnsi="Arial Black"/>
          <w:b/>
          <w:bCs/>
          <w:color w:val="C00000"/>
        </w:rPr>
      </w:pPr>
      <w:r w:rsidRPr="00FD5ED5">
        <w:rPr>
          <w:rFonts w:ascii="Arial Black" w:hAnsi="Arial Black"/>
          <w:b/>
          <w:bCs/>
          <w:color w:val="C00000"/>
        </w:rPr>
        <w:t>Handling</w:t>
      </w:r>
    </w:p>
    <w:p w14:paraId="651DD59F" w14:textId="77777777" w:rsidR="00FD5ED5" w:rsidRPr="00FF5DFC" w:rsidRDefault="00FD5ED5" w:rsidP="00FD5ED5">
      <w:pPr>
        <w:pStyle w:val="SubHead"/>
        <w:rPr>
          <w:rFonts w:ascii="Arial" w:hAnsi="Arial" w:cs="Arial"/>
          <w:b w:val="0"/>
          <w:bCs/>
          <w:color w:val="0082AA"/>
          <w:sz w:val="24"/>
          <w:szCs w:val="24"/>
        </w:rPr>
      </w:pPr>
    </w:p>
    <w:p w14:paraId="2EA59072" w14:textId="77777777" w:rsidR="00FD5ED5" w:rsidRDefault="00FD5ED5" w:rsidP="00FD5ED5">
      <w:pPr>
        <w:spacing w:line="240" w:lineRule="auto"/>
        <w:rPr>
          <w:rFonts w:cs="Arial"/>
          <w:lang w:val="en"/>
        </w:rPr>
      </w:pPr>
      <w:r w:rsidRPr="00FD5ED5">
        <w:rPr>
          <w:rFonts w:cs="Arial"/>
          <w:lang w:val="en"/>
        </w:rPr>
        <w:t xml:space="preserve">In accordance with section 124 of the Police Act 1997, certificate information is only passed to those who are authorised to receive it in the course of their duties. We maintain a record of all those to whom certificates or certificate information has been </w:t>
      </w:r>
      <w:proofErr w:type="gramStart"/>
      <w:r w:rsidRPr="00FD5ED5">
        <w:rPr>
          <w:rFonts w:cs="Arial"/>
          <w:lang w:val="en"/>
        </w:rPr>
        <w:t>revealed</w:t>
      </w:r>
      <w:proofErr w:type="gramEnd"/>
      <w:r w:rsidRPr="00FD5ED5">
        <w:rPr>
          <w:rFonts w:cs="Arial"/>
          <w:lang w:val="en"/>
        </w:rPr>
        <w:t xml:space="preserve"> and it is a criminal offence to pass this information to anyone who is not entitled to receive it.</w:t>
      </w:r>
    </w:p>
    <w:p w14:paraId="504AB26F" w14:textId="77777777" w:rsidR="00FD5ED5" w:rsidRPr="00FD5ED5" w:rsidRDefault="00FD5ED5" w:rsidP="00FD5ED5">
      <w:pPr>
        <w:spacing w:line="240" w:lineRule="auto"/>
        <w:rPr>
          <w:rFonts w:cs="Arial"/>
          <w:lang w:val="en"/>
        </w:rPr>
      </w:pPr>
    </w:p>
    <w:p w14:paraId="20A32854" w14:textId="77777777" w:rsidR="00FD5ED5" w:rsidRDefault="00FD5ED5" w:rsidP="00FD5ED5">
      <w:pPr>
        <w:spacing w:line="240" w:lineRule="auto"/>
        <w:rPr>
          <w:rFonts w:cs="Arial"/>
          <w:lang w:val="en"/>
        </w:rPr>
      </w:pPr>
      <w:r w:rsidRPr="00FD5ED5">
        <w:rPr>
          <w:rFonts w:cs="Arial"/>
          <w:lang w:val="en"/>
        </w:rPr>
        <w:t>To note: organisations which are inspected by the Care Quality Commission (CQC) or Ofsted, and those establishments which are inspected by the Care and Social Services Inspectorate for Wales (</w:t>
      </w:r>
      <w:proofErr w:type="gramStart"/>
      <w:r w:rsidRPr="00FD5ED5">
        <w:rPr>
          <w:rFonts w:cs="Arial"/>
          <w:lang w:val="en"/>
        </w:rPr>
        <w:t>CSSIW )</w:t>
      </w:r>
      <w:proofErr w:type="gramEnd"/>
      <w:r w:rsidRPr="00FD5ED5">
        <w:rPr>
          <w:rFonts w:cs="Arial"/>
          <w:lang w:val="en"/>
        </w:rPr>
        <w:t xml:space="preserve"> may be legally entitled to retain the certificate for the purposes of inspection.</w:t>
      </w:r>
    </w:p>
    <w:p w14:paraId="52805398" w14:textId="77777777" w:rsidR="00FD5ED5" w:rsidRPr="00FD5ED5" w:rsidRDefault="00FD5ED5" w:rsidP="00FD5ED5">
      <w:pPr>
        <w:spacing w:line="240" w:lineRule="auto"/>
        <w:rPr>
          <w:rFonts w:cs="Arial"/>
          <w:lang w:val="en"/>
        </w:rPr>
      </w:pPr>
    </w:p>
    <w:p w14:paraId="2208A15E" w14:textId="6C5D7104" w:rsidR="00FD5ED5" w:rsidRPr="00FD5ED5" w:rsidRDefault="00FD5ED5" w:rsidP="00FD5ED5">
      <w:pPr>
        <w:spacing w:line="240" w:lineRule="auto"/>
        <w:rPr>
          <w:rFonts w:cs="Arial"/>
          <w:lang w:val="en"/>
        </w:rPr>
      </w:pPr>
      <w:r w:rsidRPr="00FD5ED5">
        <w:rPr>
          <w:rFonts w:cs="Arial"/>
          <w:lang w:val="en"/>
        </w:rPr>
        <w:t>In addition, organisations that require retention of certificates in order to demonstrate ‘safer recruitment’ practice for the purpose of safeguarding audits may be legally entitled to retain the certificate. This practice will need to be compliant with the Data Protection Act, Human Rights Act, General Data Protection Regulation (GDPR), and incorporated within the individual organisation’s policy on the correct handling and safekeeping of DBS certificate information.</w:t>
      </w:r>
    </w:p>
    <w:p w14:paraId="539E385A" w14:textId="77777777" w:rsidR="00FD5ED5" w:rsidRPr="00470C56" w:rsidRDefault="00FD5ED5" w:rsidP="00FD5ED5">
      <w:pPr>
        <w:spacing w:line="240" w:lineRule="auto"/>
        <w:rPr>
          <w:rFonts w:cs="Arial"/>
          <w:lang w:val="en"/>
        </w:rPr>
      </w:pPr>
    </w:p>
    <w:p w14:paraId="77E4A3D1" w14:textId="77777777" w:rsidR="00FD5ED5" w:rsidRPr="00FD5ED5" w:rsidRDefault="00FD5ED5" w:rsidP="00540DFE">
      <w:pPr>
        <w:pStyle w:val="ListParagraph"/>
        <w:numPr>
          <w:ilvl w:val="1"/>
          <w:numId w:val="1"/>
        </w:numPr>
        <w:rPr>
          <w:rFonts w:ascii="Arial Black" w:hAnsi="Arial Black"/>
          <w:b/>
          <w:bCs/>
          <w:color w:val="C00000"/>
        </w:rPr>
      </w:pPr>
      <w:r w:rsidRPr="00FD5ED5">
        <w:rPr>
          <w:rFonts w:ascii="Arial Black" w:hAnsi="Arial Black"/>
          <w:b/>
          <w:bCs/>
          <w:color w:val="C00000"/>
        </w:rPr>
        <w:t>Usage</w:t>
      </w:r>
    </w:p>
    <w:p w14:paraId="196D9053" w14:textId="77777777" w:rsidR="00FD5ED5" w:rsidRPr="00470C56" w:rsidRDefault="00FD5ED5" w:rsidP="00FD5ED5">
      <w:pPr>
        <w:pStyle w:val="SubHead"/>
        <w:rPr>
          <w:rFonts w:ascii="Arial" w:hAnsi="Arial" w:cs="Arial"/>
          <w:b w:val="0"/>
          <w:bCs/>
          <w:color w:val="0082AA"/>
          <w:sz w:val="24"/>
          <w:szCs w:val="28"/>
        </w:rPr>
      </w:pPr>
    </w:p>
    <w:p w14:paraId="1B467C53" w14:textId="33F884BA" w:rsidR="00FD5ED5" w:rsidRDefault="00FD5ED5" w:rsidP="00FD5ED5">
      <w:pPr>
        <w:spacing w:line="240" w:lineRule="auto"/>
        <w:rPr>
          <w:rFonts w:cs="Arial"/>
          <w:lang w:val="en"/>
        </w:rPr>
      </w:pPr>
      <w:r w:rsidRPr="00AD7D36">
        <w:rPr>
          <w:rFonts w:cs="Arial"/>
          <w:lang w:val="en"/>
        </w:rPr>
        <w:t>Certificate information is only used for the specific purpose for which it was requested and for which the applicant’s full consent has been given.</w:t>
      </w:r>
      <w:r>
        <w:rPr>
          <w:rFonts w:cs="Arial"/>
          <w:lang w:val="en"/>
        </w:rPr>
        <w:t xml:space="preserve"> </w:t>
      </w:r>
    </w:p>
    <w:p w14:paraId="7A1C2A28" w14:textId="77777777" w:rsidR="00FD5ED5" w:rsidRPr="00AD7D36" w:rsidRDefault="00FD5ED5" w:rsidP="00FD5ED5">
      <w:pPr>
        <w:spacing w:line="240" w:lineRule="auto"/>
        <w:rPr>
          <w:rFonts w:cs="Arial"/>
          <w:lang w:val="en"/>
        </w:rPr>
      </w:pPr>
    </w:p>
    <w:p w14:paraId="258A2E9A" w14:textId="77777777" w:rsidR="00FD5ED5" w:rsidRPr="00FD5ED5" w:rsidRDefault="00FD5ED5" w:rsidP="00540DFE">
      <w:pPr>
        <w:pStyle w:val="ListParagraph"/>
        <w:numPr>
          <w:ilvl w:val="1"/>
          <w:numId w:val="1"/>
        </w:numPr>
        <w:rPr>
          <w:rFonts w:ascii="Arial Black" w:hAnsi="Arial Black"/>
          <w:b/>
          <w:bCs/>
          <w:color w:val="C00000"/>
        </w:rPr>
      </w:pPr>
      <w:r w:rsidRPr="00FD5ED5">
        <w:rPr>
          <w:rFonts w:ascii="Arial Black" w:hAnsi="Arial Black"/>
          <w:b/>
          <w:bCs/>
          <w:color w:val="C00000"/>
        </w:rPr>
        <w:t>Retention</w:t>
      </w:r>
    </w:p>
    <w:p w14:paraId="412A9D57" w14:textId="77777777" w:rsidR="00FD5ED5" w:rsidRPr="00FF5DFC" w:rsidRDefault="00FD5ED5" w:rsidP="00FD5ED5">
      <w:pPr>
        <w:pStyle w:val="SubHead"/>
        <w:rPr>
          <w:rFonts w:ascii="Arial" w:hAnsi="Arial" w:cs="Arial"/>
          <w:b w:val="0"/>
          <w:bCs/>
          <w:strike/>
          <w:color w:val="0082AA"/>
          <w:sz w:val="24"/>
          <w:szCs w:val="28"/>
        </w:rPr>
      </w:pPr>
    </w:p>
    <w:p w14:paraId="29E8CF90" w14:textId="77777777" w:rsidR="00FD5ED5" w:rsidRDefault="00FD5ED5" w:rsidP="00FD5ED5">
      <w:pPr>
        <w:spacing w:line="240" w:lineRule="auto"/>
        <w:rPr>
          <w:rFonts w:cs="Arial"/>
        </w:rPr>
      </w:pPr>
      <w:r w:rsidRPr="00FD5ED5">
        <w:rPr>
          <w:rFonts w:cs="Arial"/>
        </w:rPr>
        <w:t xml:space="preserve">Once a recruitment (or other relevant) decision has been made, we do not keep certificate information for any longer than is necessary. This retention will allow for the consideration and resolution of any disputes or </w:t>
      </w:r>
      <w:proofErr w:type="gramStart"/>
      <w:r w:rsidRPr="00FD5ED5">
        <w:rPr>
          <w:rFonts w:cs="Arial"/>
        </w:rPr>
        <w:t>complaints, or</w:t>
      </w:r>
      <w:proofErr w:type="gramEnd"/>
      <w:r w:rsidRPr="00FD5ED5">
        <w:rPr>
          <w:rFonts w:cs="Arial"/>
        </w:rPr>
        <w:t xml:space="preserve"> be for the purpose of completing safeguarding audits.</w:t>
      </w:r>
    </w:p>
    <w:p w14:paraId="3284D779" w14:textId="77777777" w:rsidR="00FD5ED5" w:rsidRPr="00FD5ED5" w:rsidRDefault="00FD5ED5" w:rsidP="00FD5ED5">
      <w:pPr>
        <w:spacing w:line="240" w:lineRule="auto"/>
        <w:rPr>
          <w:rFonts w:cs="Arial"/>
        </w:rPr>
      </w:pPr>
    </w:p>
    <w:p w14:paraId="636F8F2B" w14:textId="77777777" w:rsidR="00FD5ED5" w:rsidRPr="00FD5ED5" w:rsidRDefault="00FD5ED5" w:rsidP="00FD5ED5">
      <w:pPr>
        <w:spacing w:line="240" w:lineRule="auto"/>
        <w:rPr>
          <w:rFonts w:cs="Arial"/>
        </w:rPr>
      </w:pPr>
      <w:r w:rsidRPr="00FD5ED5">
        <w:rPr>
          <w:rFonts w:cs="Arial"/>
        </w:rPr>
        <w:t>Throughout this time, the usual conditions regarding the safe storage and strictly controlled access will prevail.</w:t>
      </w:r>
    </w:p>
    <w:p w14:paraId="3AFF8517" w14:textId="77777777" w:rsidR="00FD5ED5" w:rsidRPr="00470C56" w:rsidRDefault="00FD5ED5" w:rsidP="00FD5ED5">
      <w:pPr>
        <w:spacing w:line="240" w:lineRule="auto"/>
        <w:rPr>
          <w:rFonts w:cs="Arial"/>
          <w:lang w:val="en"/>
        </w:rPr>
      </w:pPr>
    </w:p>
    <w:p w14:paraId="77A18B0F" w14:textId="77777777" w:rsidR="00FD5ED5" w:rsidRPr="00FD5ED5" w:rsidRDefault="00FD5ED5" w:rsidP="00540DFE">
      <w:pPr>
        <w:pStyle w:val="ListParagraph"/>
        <w:numPr>
          <w:ilvl w:val="1"/>
          <w:numId w:val="1"/>
        </w:numPr>
        <w:rPr>
          <w:rFonts w:ascii="Arial Black" w:hAnsi="Arial Black"/>
          <w:b/>
          <w:bCs/>
          <w:color w:val="C00000"/>
        </w:rPr>
      </w:pPr>
      <w:r w:rsidRPr="00FD5ED5">
        <w:rPr>
          <w:rFonts w:ascii="Arial Black" w:hAnsi="Arial Black"/>
          <w:b/>
          <w:bCs/>
          <w:color w:val="C00000"/>
        </w:rPr>
        <w:t>Disposal</w:t>
      </w:r>
    </w:p>
    <w:p w14:paraId="0B60B823" w14:textId="77777777" w:rsidR="00FD5ED5" w:rsidRPr="00FF5DFC" w:rsidRDefault="00FD5ED5" w:rsidP="00FD5ED5">
      <w:pPr>
        <w:pStyle w:val="SubHead"/>
        <w:rPr>
          <w:rFonts w:ascii="Arial" w:hAnsi="Arial" w:cs="Arial"/>
          <w:b w:val="0"/>
          <w:bCs/>
          <w:color w:val="0082AA"/>
          <w:sz w:val="24"/>
          <w:szCs w:val="24"/>
        </w:rPr>
      </w:pPr>
    </w:p>
    <w:p w14:paraId="357E8724" w14:textId="77777777" w:rsidR="00FD5ED5" w:rsidRPr="00FD5ED5" w:rsidRDefault="00FD5ED5" w:rsidP="00FD5ED5">
      <w:pPr>
        <w:spacing w:line="240" w:lineRule="auto"/>
        <w:rPr>
          <w:rFonts w:cs="Arial"/>
        </w:rPr>
      </w:pPr>
      <w:r w:rsidRPr="00FD5ED5">
        <w:rPr>
          <w:rFonts w:cs="Arial"/>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52134BB7" w14:textId="77777777" w:rsidR="00FD5ED5" w:rsidRPr="00FD5ED5" w:rsidRDefault="00FD5ED5" w:rsidP="00FD5ED5">
      <w:pPr>
        <w:spacing w:line="240" w:lineRule="auto"/>
        <w:rPr>
          <w:rFonts w:cs="Arial"/>
        </w:rPr>
      </w:pPr>
      <w:r w:rsidRPr="00FD5ED5">
        <w:rPr>
          <w:rFonts w:cs="Arial"/>
        </w:rPr>
        <w:lastRenderedPageBreak/>
        <w:t xml:space="preserve">We will not keep any photocopy or other image of the certificate or any copy or representation of the contents of a certificate. However, </w:t>
      </w:r>
      <w:proofErr w:type="spellStart"/>
      <w:r w:rsidRPr="00FD5ED5">
        <w:rPr>
          <w:rFonts w:cs="Arial"/>
        </w:rPr>
        <w:t>not withstanding</w:t>
      </w:r>
      <w:proofErr w:type="spellEnd"/>
      <w:r w:rsidRPr="00FD5ED5">
        <w:rPr>
          <w:rFonts w:cs="Arial"/>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66BBF4EF" w14:textId="77777777" w:rsidR="00FD5ED5" w:rsidRPr="00470C56" w:rsidRDefault="00FD5ED5" w:rsidP="00FD5ED5">
      <w:pPr>
        <w:spacing w:line="240" w:lineRule="auto"/>
        <w:rPr>
          <w:rFonts w:cs="Arial"/>
          <w:lang w:val="en"/>
        </w:rPr>
      </w:pPr>
    </w:p>
    <w:p w14:paraId="17EBCA9C" w14:textId="6E2DF5EE" w:rsidR="000A43F9" w:rsidRDefault="000A43F9" w:rsidP="00540DFE">
      <w:pPr>
        <w:pStyle w:val="Heading3"/>
        <w:numPr>
          <w:ilvl w:val="0"/>
          <w:numId w:val="1"/>
        </w:numPr>
        <w:tabs>
          <w:tab w:val="num" w:pos="405"/>
        </w:tabs>
        <w:ind w:left="405" w:hanging="405"/>
        <w:rPr>
          <w:rStyle w:val="Hyperlink"/>
          <w:rFonts w:ascii="Arial Black" w:hAnsi="Arial Black"/>
          <w:b/>
          <w:sz w:val="28"/>
          <w:szCs w:val="28"/>
        </w:rPr>
      </w:pPr>
      <w:bookmarkStart w:id="26" w:name="_Toc210990752"/>
      <w:r>
        <w:rPr>
          <w:rStyle w:val="Hyperlink"/>
          <w:rFonts w:ascii="Arial Black" w:hAnsi="Arial Black"/>
          <w:b/>
          <w:sz w:val="28"/>
          <w:szCs w:val="28"/>
        </w:rPr>
        <w:t>Right to Work</w:t>
      </w:r>
      <w:bookmarkEnd w:id="26"/>
      <w:r>
        <w:rPr>
          <w:rStyle w:val="Hyperlink"/>
          <w:rFonts w:ascii="Arial Black" w:hAnsi="Arial Black"/>
          <w:b/>
          <w:sz w:val="28"/>
          <w:szCs w:val="28"/>
        </w:rPr>
        <w:t xml:space="preserve"> </w:t>
      </w:r>
    </w:p>
    <w:p w14:paraId="6CB95086" w14:textId="77777777" w:rsidR="000A43F9" w:rsidRDefault="000A43F9" w:rsidP="000A43F9"/>
    <w:p w14:paraId="4BB13337" w14:textId="565F7772" w:rsidR="000A43F9" w:rsidRDefault="000A43F9" w:rsidP="000A43F9">
      <w:r>
        <w:t xml:space="preserve">CFRS must check an applicant is allowed to work in the UK before we employ them. </w:t>
      </w:r>
    </w:p>
    <w:p w14:paraId="3B509425" w14:textId="77777777" w:rsidR="000A43F9" w:rsidRPr="000A43F9" w:rsidRDefault="000A43F9" w:rsidP="000A43F9"/>
    <w:p w14:paraId="534AF640" w14:textId="19066AEF" w:rsidR="00BD7796" w:rsidRDefault="00BD7796" w:rsidP="00BD7796">
      <w:pPr>
        <w:pStyle w:val="next"/>
        <w:spacing w:after="0"/>
        <w:rPr>
          <w:rFonts w:eastAsia="PMingLiU"/>
        </w:rPr>
      </w:pPr>
      <w:r>
        <w:rPr>
          <w:rFonts w:eastAsia="PMingLiU"/>
        </w:rPr>
        <w:t xml:space="preserve">There </w:t>
      </w:r>
      <w:r>
        <w:rPr>
          <w:rFonts w:eastAsia="PMingLiU"/>
        </w:rPr>
        <w:t>are two ways of doing this:</w:t>
      </w:r>
    </w:p>
    <w:p w14:paraId="7DD5C8CB" w14:textId="77777777" w:rsidR="00BD7796" w:rsidRDefault="00BD7796" w:rsidP="00BD7796">
      <w:pPr>
        <w:pStyle w:val="next"/>
        <w:spacing w:after="0"/>
        <w:rPr>
          <w:rFonts w:eastAsia="PMingLiU"/>
        </w:rPr>
      </w:pPr>
    </w:p>
    <w:p w14:paraId="0D8501E5" w14:textId="77777777" w:rsidR="00BD7796" w:rsidRDefault="00BD7796" w:rsidP="00540DFE">
      <w:pPr>
        <w:pStyle w:val="next"/>
        <w:numPr>
          <w:ilvl w:val="0"/>
          <w:numId w:val="9"/>
        </w:numPr>
        <w:spacing w:after="0"/>
        <w:rPr>
          <w:rFonts w:eastAsia="PMingLiU"/>
        </w:rPr>
      </w:pPr>
      <w:r>
        <w:rPr>
          <w:rFonts w:eastAsia="PMingLiU"/>
        </w:rPr>
        <w:t>You can check the applicant’s right to work online, if they have given you a share code</w:t>
      </w:r>
    </w:p>
    <w:p w14:paraId="42A66244" w14:textId="77777777" w:rsidR="00BD7796" w:rsidRDefault="00BD7796" w:rsidP="00540DFE">
      <w:pPr>
        <w:pStyle w:val="next"/>
        <w:numPr>
          <w:ilvl w:val="0"/>
          <w:numId w:val="9"/>
        </w:numPr>
        <w:spacing w:after="0"/>
        <w:rPr>
          <w:rFonts w:eastAsia="PMingLiU"/>
        </w:rPr>
      </w:pPr>
      <w:r>
        <w:rPr>
          <w:rFonts w:eastAsia="PMingLiU"/>
        </w:rPr>
        <w:t xml:space="preserve">You can check the applicant’s original documents. </w:t>
      </w:r>
    </w:p>
    <w:p w14:paraId="0414ADC3" w14:textId="77777777" w:rsidR="00BD7796" w:rsidRDefault="00BD7796" w:rsidP="00BD7796">
      <w:pPr>
        <w:pStyle w:val="next"/>
        <w:spacing w:after="0"/>
        <w:rPr>
          <w:rFonts w:eastAsia="PMingLiU"/>
        </w:rPr>
      </w:pPr>
    </w:p>
    <w:p w14:paraId="285ACA43" w14:textId="77777777" w:rsidR="00BD7796" w:rsidRDefault="00BD7796" w:rsidP="00BD7796">
      <w:pPr>
        <w:pStyle w:val="next"/>
        <w:spacing w:after="0"/>
        <w:rPr>
          <w:rFonts w:eastAsia="PMingLiU"/>
        </w:rPr>
      </w:pPr>
      <w:r>
        <w:rPr>
          <w:rFonts w:eastAsia="PMingLiU"/>
        </w:rPr>
        <w:t xml:space="preserve">CFRS understands that applicants travel from all over to attend assessment days and interviews for their roles, and often when pre-employment checks are being undertaken an applicant is unable to travel to Resourcing and Talent to produce original documents. </w:t>
      </w:r>
    </w:p>
    <w:p w14:paraId="3E0E3D90" w14:textId="77777777" w:rsidR="00BD7796" w:rsidRDefault="00BD7796" w:rsidP="00BD7796">
      <w:pPr>
        <w:pStyle w:val="next"/>
        <w:spacing w:after="0"/>
        <w:rPr>
          <w:rFonts w:eastAsia="PMingLiU"/>
        </w:rPr>
      </w:pPr>
    </w:p>
    <w:p w14:paraId="435C9341" w14:textId="77777777" w:rsidR="00BD7796" w:rsidRPr="009460D9" w:rsidRDefault="00BD7796" w:rsidP="00BD7796">
      <w:pPr>
        <w:pStyle w:val="next"/>
        <w:spacing w:after="0"/>
        <w:rPr>
          <w:rFonts w:eastAsia="PMingLiU"/>
        </w:rPr>
      </w:pPr>
      <w:r>
        <w:rPr>
          <w:rFonts w:eastAsia="PMingLiU"/>
        </w:rPr>
        <w:t xml:space="preserve">Therefore, it is key that applicants are informed about the Right to Work check at interview/assessment, and this is detailed in </w:t>
      </w:r>
      <w:r w:rsidRPr="009460D9">
        <w:rPr>
          <w:rFonts w:eastAsia="PMingLiU"/>
          <w:color w:val="C00000"/>
        </w:rPr>
        <w:t xml:space="preserve">RT3 – Invite to </w:t>
      </w:r>
      <w:r>
        <w:rPr>
          <w:rFonts w:eastAsia="PMingLiU"/>
          <w:color w:val="C00000"/>
        </w:rPr>
        <w:t>Assessment</w:t>
      </w:r>
      <w:r w:rsidRPr="009460D9">
        <w:rPr>
          <w:rFonts w:eastAsia="PMingLiU"/>
          <w:color w:val="C00000"/>
        </w:rPr>
        <w:t xml:space="preserve">. </w:t>
      </w:r>
      <w:r w:rsidRPr="009460D9">
        <w:rPr>
          <w:rFonts w:eastAsia="PMingLiU"/>
        </w:rPr>
        <w:t xml:space="preserve">The Resourcing and Talent team will share with applicants which documents can be accepted for this. </w:t>
      </w:r>
    </w:p>
    <w:p w14:paraId="518A0B90" w14:textId="77777777" w:rsidR="00BD7796" w:rsidRPr="009460D9" w:rsidRDefault="00BD7796" w:rsidP="00BD7796">
      <w:pPr>
        <w:pStyle w:val="next"/>
        <w:spacing w:after="0"/>
        <w:rPr>
          <w:rFonts w:eastAsia="PMingLiU"/>
        </w:rPr>
      </w:pPr>
    </w:p>
    <w:p w14:paraId="37EA832E" w14:textId="77777777" w:rsidR="00BD7796" w:rsidRPr="009460D9" w:rsidRDefault="00BD7796" w:rsidP="00BD7796">
      <w:pPr>
        <w:pStyle w:val="next"/>
        <w:spacing w:after="0"/>
        <w:rPr>
          <w:rFonts w:eastAsia="PMingLiU"/>
        </w:rPr>
      </w:pPr>
      <w:r w:rsidRPr="009460D9">
        <w:rPr>
          <w:rFonts w:eastAsia="PMingLiU"/>
        </w:rPr>
        <w:t xml:space="preserve">The recruiting manager will need to request to see the applicant’s original documents when they attend interview/assessment days. This must be done with the applicant present, and the recruiting manager will make copies of the documents, sign them, date them, and deliver them to the Resourcing and Talent team to store securely. </w:t>
      </w:r>
    </w:p>
    <w:p w14:paraId="3AB75CD2" w14:textId="77777777" w:rsidR="00BD7796" w:rsidRPr="009460D9" w:rsidRDefault="00BD7796" w:rsidP="00BD7796">
      <w:pPr>
        <w:pStyle w:val="next"/>
        <w:spacing w:after="0"/>
        <w:rPr>
          <w:rFonts w:eastAsia="PMingLiU"/>
        </w:rPr>
      </w:pPr>
    </w:p>
    <w:p w14:paraId="597A68CB" w14:textId="48132410" w:rsidR="00BD7796" w:rsidRPr="00BD7796" w:rsidRDefault="00BD7796" w:rsidP="00540DFE">
      <w:pPr>
        <w:pStyle w:val="ListParagraph"/>
        <w:numPr>
          <w:ilvl w:val="1"/>
          <w:numId w:val="1"/>
        </w:numPr>
        <w:rPr>
          <w:rFonts w:ascii="Arial Black" w:hAnsi="Arial Black"/>
          <w:b/>
          <w:bCs/>
          <w:color w:val="C00000"/>
        </w:rPr>
      </w:pPr>
      <w:r w:rsidRPr="00BD7796">
        <w:rPr>
          <w:rFonts w:ascii="Arial Black" w:hAnsi="Arial Black"/>
          <w:b/>
          <w:bCs/>
          <w:color w:val="C00000"/>
        </w:rPr>
        <w:t>Checking the applicants original documents:</w:t>
      </w:r>
    </w:p>
    <w:p w14:paraId="49400CD9" w14:textId="77777777" w:rsidR="00BD7796" w:rsidRDefault="00BD7796" w:rsidP="00BD7796">
      <w:pPr>
        <w:pStyle w:val="next"/>
        <w:spacing w:after="0"/>
        <w:rPr>
          <w:rFonts w:eastAsia="PMingLiU"/>
        </w:rPr>
      </w:pPr>
    </w:p>
    <w:p w14:paraId="15301908" w14:textId="48F72E5C" w:rsidR="00BD7796" w:rsidRPr="00BD7796" w:rsidRDefault="00BD7796" w:rsidP="00540DFE">
      <w:pPr>
        <w:numPr>
          <w:ilvl w:val="0"/>
          <w:numId w:val="10"/>
        </w:numPr>
        <w:shd w:val="clear" w:color="auto" w:fill="FFFFFF"/>
        <w:spacing w:line="240" w:lineRule="auto"/>
        <w:rPr>
          <w:rFonts w:cs="Arial"/>
          <w:color w:val="0B0C0C"/>
        </w:rPr>
      </w:pPr>
      <w:r w:rsidRPr="00BD7796">
        <w:rPr>
          <w:rFonts w:cs="Arial"/>
          <w:color w:val="0B0C0C"/>
        </w:rPr>
        <w:t xml:space="preserve">Ask to see the applicant’s original documents. </w:t>
      </w:r>
      <w:r>
        <w:rPr>
          <w:rFonts w:cs="Arial"/>
          <w:color w:val="0B0C0C"/>
        </w:rPr>
        <w:t>We</w:t>
      </w:r>
      <w:r w:rsidRPr="00BD7796">
        <w:rPr>
          <w:rFonts w:cs="Arial"/>
          <w:color w:val="0B0C0C"/>
        </w:rPr>
        <w:t xml:space="preserve"> can no longer accept biometric residence cards or permits. Ask the applicant for a share code instead.</w:t>
      </w:r>
    </w:p>
    <w:p w14:paraId="4CCC6188" w14:textId="7BAA9243" w:rsidR="00BD7796" w:rsidRPr="00BD7796" w:rsidRDefault="00BD7796" w:rsidP="00540DFE">
      <w:pPr>
        <w:numPr>
          <w:ilvl w:val="0"/>
          <w:numId w:val="10"/>
        </w:numPr>
        <w:shd w:val="clear" w:color="auto" w:fill="FFFFFF"/>
        <w:spacing w:line="240" w:lineRule="auto"/>
        <w:rPr>
          <w:rFonts w:cs="Arial"/>
          <w:color w:val="0B0C0C"/>
        </w:rPr>
      </w:pPr>
      <w:r w:rsidRPr="00BD7796">
        <w:rPr>
          <w:rFonts w:cs="Arial"/>
          <w:color w:val="0B0C0C"/>
        </w:rPr>
        <w:t>Check that the documents are valid with the applicant present.</w:t>
      </w:r>
    </w:p>
    <w:p w14:paraId="57C66E5B" w14:textId="77777777" w:rsidR="00BD7796" w:rsidRPr="00BD7796" w:rsidRDefault="00BD7796" w:rsidP="00540DFE">
      <w:pPr>
        <w:numPr>
          <w:ilvl w:val="0"/>
          <w:numId w:val="10"/>
        </w:numPr>
        <w:shd w:val="clear" w:color="auto" w:fill="FFFFFF"/>
        <w:spacing w:line="240" w:lineRule="auto"/>
        <w:rPr>
          <w:rFonts w:cs="Arial"/>
          <w:color w:val="0B0C0C"/>
        </w:rPr>
      </w:pPr>
      <w:r w:rsidRPr="00BD7796">
        <w:rPr>
          <w:rFonts w:cs="Arial"/>
          <w:color w:val="0B0C0C"/>
        </w:rPr>
        <w:t>Make and keep copies of the documents and record the date you made the check.</w:t>
      </w:r>
    </w:p>
    <w:p w14:paraId="749622DB" w14:textId="77777777" w:rsidR="00BD7796" w:rsidRPr="009460D9" w:rsidRDefault="00BD7796" w:rsidP="00BD7796">
      <w:pPr>
        <w:pStyle w:val="next"/>
        <w:spacing w:after="0"/>
        <w:rPr>
          <w:rFonts w:eastAsia="PMingLiU"/>
        </w:rPr>
      </w:pPr>
    </w:p>
    <w:p w14:paraId="27D0F0FA" w14:textId="112EA4BF" w:rsidR="00BD7796" w:rsidRPr="00BD7796" w:rsidRDefault="00BD7796" w:rsidP="00540DFE">
      <w:pPr>
        <w:pStyle w:val="ListParagraph"/>
        <w:numPr>
          <w:ilvl w:val="1"/>
          <w:numId w:val="1"/>
        </w:numPr>
        <w:rPr>
          <w:rFonts w:ascii="Arial Black" w:hAnsi="Arial Black"/>
          <w:b/>
          <w:bCs/>
          <w:color w:val="C00000"/>
        </w:rPr>
      </w:pPr>
      <w:r w:rsidRPr="00BD7796">
        <w:rPr>
          <w:rFonts w:ascii="Arial Black" w:hAnsi="Arial Black"/>
          <w:b/>
          <w:bCs/>
          <w:color w:val="C00000"/>
        </w:rPr>
        <w:t>What to check:</w:t>
      </w:r>
    </w:p>
    <w:p w14:paraId="649F377D" w14:textId="77777777" w:rsidR="00BD7796" w:rsidRDefault="00BD7796" w:rsidP="00BD7796">
      <w:pPr>
        <w:pStyle w:val="next"/>
        <w:spacing w:after="0"/>
        <w:rPr>
          <w:rFonts w:eastAsia="PMingLiU"/>
          <w:color w:val="C00000"/>
        </w:rPr>
      </w:pPr>
    </w:p>
    <w:p w14:paraId="15B97306" w14:textId="77777777" w:rsidR="00BD7796" w:rsidRPr="009460D9" w:rsidRDefault="00BD7796" w:rsidP="00540DFE">
      <w:pPr>
        <w:numPr>
          <w:ilvl w:val="0"/>
          <w:numId w:val="10"/>
        </w:numPr>
        <w:shd w:val="clear" w:color="auto" w:fill="FFFFFF"/>
        <w:spacing w:line="240" w:lineRule="auto"/>
        <w:rPr>
          <w:rFonts w:cs="Arial"/>
          <w:color w:val="0B0C0C"/>
        </w:rPr>
      </w:pPr>
      <w:r w:rsidRPr="009460D9">
        <w:rPr>
          <w:rFonts w:cs="Arial"/>
          <w:color w:val="0B0C0C"/>
        </w:rPr>
        <w:t>the documents are genuine, original and unchanged and belong to the person who has given them to you.</w:t>
      </w:r>
    </w:p>
    <w:p w14:paraId="067E7C9C" w14:textId="77777777" w:rsidR="00BD7796" w:rsidRPr="009460D9" w:rsidRDefault="00BD7796" w:rsidP="00540DFE">
      <w:pPr>
        <w:numPr>
          <w:ilvl w:val="0"/>
          <w:numId w:val="10"/>
        </w:numPr>
        <w:shd w:val="clear" w:color="auto" w:fill="FFFFFF"/>
        <w:spacing w:line="240" w:lineRule="auto"/>
        <w:rPr>
          <w:rFonts w:cs="Arial"/>
          <w:color w:val="0B0C0C"/>
        </w:rPr>
      </w:pPr>
      <w:r w:rsidRPr="009460D9">
        <w:rPr>
          <w:rFonts w:cs="Arial"/>
          <w:color w:val="0B0C0C"/>
        </w:rPr>
        <w:t>photos are the same across all documents and look like the applicant.</w:t>
      </w:r>
    </w:p>
    <w:p w14:paraId="3D7F0E77" w14:textId="77777777" w:rsidR="00BD7796" w:rsidRPr="009460D9" w:rsidRDefault="00BD7796" w:rsidP="00540DFE">
      <w:pPr>
        <w:numPr>
          <w:ilvl w:val="0"/>
          <w:numId w:val="10"/>
        </w:numPr>
        <w:shd w:val="clear" w:color="auto" w:fill="FFFFFF"/>
        <w:spacing w:line="240" w:lineRule="auto"/>
        <w:rPr>
          <w:rFonts w:cs="Arial"/>
          <w:color w:val="0B0C0C"/>
        </w:rPr>
      </w:pPr>
      <w:r w:rsidRPr="009460D9">
        <w:rPr>
          <w:rFonts w:cs="Arial"/>
          <w:color w:val="0B0C0C"/>
        </w:rPr>
        <w:t>dates of birth are the same across all documents.</w:t>
      </w:r>
    </w:p>
    <w:p w14:paraId="4E5AC1FF" w14:textId="77777777" w:rsidR="00BD7796" w:rsidRDefault="00BD7796" w:rsidP="00540DFE">
      <w:pPr>
        <w:numPr>
          <w:ilvl w:val="0"/>
          <w:numId w:val="10"/>
        </w:numPr>
        <w:shd w:val="clear" w:color="auto" w:fill="FFFFFF"/>
        <w:spacing w:line="240" w:lineRule="auto"/>
        <w:rPr>
          <w:rFonts w:cs="Arial"/>
          <w:color w:val="0B0C0C"/>
        </w:rPr>
      </w:pPr>
      <w:r w:rsidRPr="009460D9">
        <w:rPr>
          <w:rFonts w:cs="Arial"/>
          <w:color w:val="0B0C0C"/>
        </w:rPr>
        <w:t>if 2 documents give different names, the applicant has supporting documents showing why they’re different, such as a marriage certificate or divorce decree.</w:t>
      </w:r>
    </w:p>
    <w:p w14:paraId="7BAFA8CE" w14:textId="77777777" w:rsidR="00BD7796" w:rsidRDefault="00BD7796" w:rsidP="00BD7796">
      <w:pPr>
        <w:shd w:val="clear" w:color="auto" w:fill="FFFFFF"/>
        <w:spacing w:line="240" w:lineRule="auto"/>
        <w:rPr>
          <w:rFonts w:cs="Arial"/>
          <w:color w:val="0B0C0C"/>
        </w:rPr>
      </w:pPr>
    </w:p>
    <w:p w14:paraId="0BBFF82C" w14:textId="77777777" w:rsidR="00BD7796" w:rsidRDefault="00BD7796" w:rsidP="00BD7796">
      <w:pPr>
        <w:shd w:val="clear" w:color="auto" w:fill="FFFFFF"/>
        <w:spacing w:line="240" w:lineRule="auto"/>
        <w:rPr>
          <w:rFonts w:cs="Arial"/>
          <w:color w:val="0B0C0C"/>
        </w:rPr>
      </w:pPr>
      <w:r w:rsidRPr="00BD7796">
        <w:rPr>
          <w:rFonts w:cs="Arial"/>
          <w:color w:val="0B0C0C"/>
        </w:rPr>
        <w:t>If the applicant is not a British or Irish citizen, you’ll also need to check that:</w:t>
      </w:r>
    </w:p>
    <w:p w14:paraId="22614D11" w14:textId="77777777" w:rsidR="00BD7796" w:rsidRPr="00BD7796" w:rsidRDefault="00BD7796" w:rsidP="00BD7796">
      <w:pPr>
        <w:shd w:val="clear" w:color="auto" w:fill="FFFFFF"/>
        <w:spacing w:line="240" w:lineRule="auto"/>
        <w:rPr>
          <w:rFonts w:cs="Arial"/>
          <w:color w:val="0B0C0C"/>
        </w:rPr>
      </w:pPr>
    </w:p>
    <w:p w14:paraId="5EA0766A" w14:textId="77777777" w:rsidR="00BD7796" w:rsidRPr="00BD7796" w:rsidRDefault="00BD7796" w:rsidP="00540DFE">
      <w:pPr>
        <w:numPr>
          <w:ilvl w:val="0"/>
          <w:numId w:val="11"/>
        </w:numPr>
        <w:shd w:val="clear" w:color="auto" w:fill="FFFFFF"/>
        <w:spacing w:line="240" w:lineRule="auto"/>
        <w:rPr>
          <w:rFonts w:cs="Arial"/>
          <w:color w:val="0B0C0C"/>
        </w:rPr>
      </w:pPr>
      <w:r w:rsidRPr="00BD7796">
        <w:rPr>
          <w:rFonts w:cs="Arial"/>
          <w:color w:val="0B0C0C"/>
        </w:rPr>
        <w:t>the dates for the applicant’s right to work in the UK have not expired</w:t>
      </w:r>
    </w:p>
    <w:p w14:paraId="4CEBB6D2" w14:textId="77777777" w:rsidR="00BD7796" w:rsidRPr="00BD7796" w:rsidRDefault="00BD7796" w:rsidP="00540DFE">
      <w:pPr>
        <w:numPr>
          <w:ilvl w:val="0"/>
          <w:numId w:val="11"/>
        </w:numPr>
        <w:shd w:val="clear" w:color="auto" w:fill="FFFFFF"/>
        <w:spacing w:line="240" w:lineRule="auto"/>
        <w:rPr>
          <w:rFonts w:cs="Arial"/>
          <w:color w:val="0B0C0C"/>
        </w:rPr>
      </w:pPr>
      <w:r w:rsidRPr="00BD7796">
        <w:rPr>
          <w:rFonts w:cs="Arial"/>
          <w:color w:val="0B0C0C"/>
        </w:rPr>
        <w:lastRenderedPageBreak/>
        <w:t>the applicant has permission to do the type of work you’re offering (including any limit on the number of hours they can work)</w:t>
      </w:r>
    </w:p>
    <w:p w14:paraId="09D168DD" w14:textId="77777777" w:rsidR="00BD7796" w:rsidRPr="00BD7796" w:rsidRDefault="00BD7796" w:rsidP="00540DFE">
      <w:pPr>
        <w:numPr>
          <w:ilvl w:val="0"/>
          <w:numId w:val="11"/>
        </w:numPr>
        <w:shd w:val="clear" w:color="auto" w:fill="FFFFFF"/>
        <w:spacing w:line="240" w:lineRule="auto"/>
        <w:rPr>
          <w:rFonts w:cs="Arial"/>
          <w:color w:val="0B0C0C"/>
        </w:rPr>
      </w:pPr>
      <w:r w:rsidRPr="00BD7796">
        <w:rPr>
          <w:rFonts w:cs="Arial"/>
          <w:color w:val="0B0C0C"/>
        </w:rPr>
        <w:t>for students you see evidence of their study and vacation times</w:t>
      </w:r>
    </w:p>
    <w:p w14:paraId="19E69B04" w14:textId="77777777" w:rsidR="00BD7796" w:rsidRPr="009460D9" w:rsidRDefault="00BD7796" w:rsidP="00BD7796">
      <w:pPr>
        <w:shd w:val="clear" w:color="auto" w:fill="FFFFFF"/>
        <w:spacing w:line="240" w:lineRule="auto"/>
        <w:rPr>
          <w:rFonts w:cs="Arial"/>
          <w:color w:val="0B0C0C"/>
        </w:rPr>
      </w:pPr>
    </w:p>
    <w:p w14:paraId="0AD13A84" w14:textId="77777777" w:rsidR="00BD7796" w:rsidRDefault="00BD7796" w:rsidP="00BD7796">
      <w:pPr>
        <w:pStyle w:val="next"/>
        <w:spacing w:after="0"/>
        <w:rPr>
          <w:rFonts w:eastAsia="PMingLiU"/>
        </w:rPr>
      </w:pPr>
    </w:p>
    <w:p w14:paraId="17BE9C7E" w14:textId="77777777" w:rsidR="00BD7796" w:rsidRDefault="00BD7796" w:rsidP="00540DFE">
      <w:pPr>
        <w:pStyle w:val="ListParagraph"/>
        <w:numPr>
          <w:ilvl w:val="1"/>
          <w:numId w:val="1"/>
        </w:numPr>
        <w:rPr>
          <w:rFonts w:ascii="Arial Black" w:hAnsi="Arial Black"/>
          <w:b/>
          <w:bCs/>
          <w:color w:val="C00000"/>
        </w:rPr>
      </w:pPr>
      <w:r w:rsidRPr="00BD7796">
        <w:rPr>
          <w:rFonts w:ascii="Arial Black" w:hAnsi="Arial Black"/>
          <w:b/>
          <w:bCs/>
          <w:color w:val="C00000"/>
        </w:rPr>
        <w:t>Making a copy:</w:t>
      </w:r>
    </w:p>
    <w:p w14:paraId="3A47C86C" w14:textId="77777777" w:rsidR="004E1321" w:rsidRPr="00BD7796" w:rsidRDefault="004E1321" w:rsidP="004E1321">
      <w:pPr>
        <w:pStyle w:val="ListParagraph"/>
        <w:rPr>
          <w:rFonts w:ascii="Arial Black" w:hAnsi="Arial Black"/>
          <w:b/>
          <w:bCs/>
          <w:color w:val="C00000"/>
        </w:rPr>
      </w:pPr>
    </w:p>
    <w:p w14:paraId="2C29FCCE" w14:textId="77777777" w:rsidR="00BD7796" w:rsidRPr="00BD7796" w:rsidRDefault="00BD7796" w:rsidP="00540DFE">
      <w:pPr>
        <w:pStyle w:val="next"/>
        <w:numPr>
          <w:ilvl w:val="0"/>
          <w:numId w:val="12"/>
        </w:numPr>
        <w:spacing w:after="0"/>
        <w:rPr>
          <w:rFonts w:cs="Arial"/>
          <w:color w:val="0B0C0C"/>
        </w:rPr>
      </w:pPr>
      <w:r w:rsidRPr="00BD7796">
        <w:rPr>
          <w:rFonts w:cs="Arial"/>
          <w:color w:val="0B0C0C"/>
        </w:rPr>
        <w:t>make a copy that cannot be changed, for example a photocopy</w:t>
      </w:r>
    </w:p>
    <w:p w14:paraId="61D42BCC" w14:textId="77777777" w:rsidR="00BD7796" w:rsidRPr="00BD7796" w:rsidRDefault="00BD7796" w:rsidP="00540DFE">
      <w:pPr>
        <w:pStyle w:val="next"/>
        <w:numPr>
          <w:ilvl w:val="0"/>
          <w:numId w:val="12"/>
        </w:numPr>
        <w:spacing w:after="0"/>
        <w:rPr>
          <w:rFonts w:cs="Arial"/>
          <w:color w:val="0B0C0C"/>
        </w:rPr>
      </w:pPr>
      <w:r w:rsidRPr="00BD7796">
        <w:rPr>
          <w:rFonts w:cs="Arial"/>
          <w:color w:val="0B0C0C"/>
        </w:rPr>
        <w:t>make sure the copy is clear enough to read</w:t>
      </w:r>
    </w:p>
    <w:p w14:paraId="23A11D75" w14:textId="77777777" w:rsidR="00BD7796" w:rsidRPr="00BD7796" w:rsidRDefault="00BD7796" w:rsidP="00540DFE">
      <w:pPr>
        <w:pStyle w:val="next"/>
        <w:numPr>
          <w:ilvl w:val="0"/>
          <w:numId w:val="12"/>
        </w:numPr>
        <w:spacing w:after="0"/>
        <w:rPr>
          <w:rFonts w:cs="Arial"/>
          <w:color w:val="0B0C0C"/>
        </w:rPr>
      </w:pPr>
      <w:r w:rsidRPr="00BD7796">
        <w:rPr>
          <w:rFonts w:cs="Arial"/>
          <w:color w:val="0B0C0C"/>
        </w:rPr>
        <w:t>for passports, copy any page with the expiry date and applicant’s details (for example nationality, date of birth and photograph) including endorsements, for example a work visa</w:t>
      </w:r>
    </w:p>
    <w:p w14:paraId="76F3DE01" w14:textId="77777777" w:rsidR="00BD7796" w:rsidRPr="00BD7796" w:rsidRDefault="00BD7796" w:rsidP="00540DFE">
      <w:pPr>
        <w:pStyle w:val="next"/>
        <w:numPr>
          <w:ilvl w:val="0"/>
          <w:numId w:val="12"/>
        </w:numPr>
        <w:spacing w:after="0"/>
        <w:rPr>
          <w:rFonts w:cs="Arial"/>
          <w:color w:val="0B0C0C"/>
        </w:rPr>
      </w:pPr>
      <w:r w:rsidRPr="00BD7796">
        <w:rPr>
          <w:rFonts w:cs="Arial"/>
          <w:color w:val="0B0C0C"/>
        </w:rPr>
        <w:t>for all other documents you must make a complete copy</w:t>
      </w:r>
    </w:p>
    <w:p w14:paraId="0498B7AA" w14:textId="77777777" w:rsidR="00BD7796" w:rsidRPr="00BD7796" w:rsidRDefault="00BD7796" w:rsidP="00540DFE">
      <w:pPr>
        <w:pStyle w:val="next"/>
        <w:numPr>
          <w:ilvl w:val="0"/>
          <w:numId w:val="12"/>
        </w:numPr>
        <w:spacing w:after="0"/>
        <w:rPr>
          <w:rFonts w:cs="Arial"/>
          <w:color w:val="0B0C0C"/>
        </w:rPr>
      </w:pPr>
      <w:r w:rsidRPr="00BD7796">
        <w:rPr>
          <w:rFonts w:cs="Arial"/>
          <w:color w:val="0B0C0C"/>
        </w:rPr>
        <w:t>keep copies during the applicant’s employment and for 2 years after they stop working for you</w:t>
      </w:r>
    </w:p>
    <w:p w14:paraId="71CAAC6D" w14:textId="77777777" w:rsidR="00BD7796" w:rsidRPr="00BD7796" w:rsidRDefault="00BD7796" w:rsidP="00540DFE">
      <w:pPr>
        <w:pStyle w:val="next"/>
        <w:numPr>
          <w:ilvl w:val="0"/>
          <w:numId w:val="12"/>
        </w:numPr>
        <w:spacing w:after="0"/>
        <w:rPr>
          <w:rFonts w:cs="Arial"/>
          <w:color w:val="0B0C0C"/>
        </w:rPr>
      </w:pPr>
      <w:r w:rsidRPr="00BD7796">
        <w:rPr>
          <w:rFonts w:cs="Arial"/>
          <w:color w:val="0B0C0C"/>
        </w:rPr>
        <w:t>record the date the check was made</w:t>
      </w:r>
    </w:p>
    <w:p w14:paraId="5E857EF9" w14:textId="77777777" w:rsidR="00BD7796" w:rsidRDefault="00BD7796" w:rsidP="00BD7796">
      <w:pPr>
        <w:pStyle w:val="next"/>
        <w:spacing w:after="0"/>
        <w:rPr>
          <w:rFonts w:eastAsia="PMingLiU"/>
        </w:rPr>
      </w:pPr>
    </w:p>
    <w:p w14:paraId="4264F3F8" w14:textId="77777777" w:rsidR="00BD7796" w:rsidRDefault="00BD7796" w:rsidP="00BD7796">
      <w:r>
        <w:t xml:space="preserve">If there are any queries around any part of the Right to Work check, please contact Resourcing and Talent for advice and support. </w:t>
      </w:r>
    </w:p>
    <w:p w14:paraId="0EB5DB4E" w14:textId="77777777" w:rsidR="00BD7796" w:rsidRPr="00BD7796" w:rsidRDefault="00BD7796" w:rsidP="00BD7796">
      <w:pPr>
        <w:pStyle w:val="ListParagraph"/>
        <w:ind w:left="1080"/>
        <w:rPr>
          <w:rFonts w:ascii="Arial Black" w:hAnsi="Arial Black"/>
          <w:b/>
          <w:bCs/>
          <w:color w:val="C00000"/>
        </w:rPr>
      </w:pPr>
    </w:p>
    <w:p w14:paraId="66AA4FA4" w14:textId="77777777" w:rsidR="00BD7796" w:rsidRPr="00BD7796" w:rsidRDefault="00BD7796" w:rsidP="00540DFE">
      <w:pPr>
        <w:pStyle w:val="ListParagraph"/>
        <w:numPr>
          <w:ilvl w:val="1"/>
          <w:numId w:val="1"/>
        </w:numPr>
        <w:rPr>
          <w:rFonts w:ascii="Arial Black" w:hAnsi="Arial Black"/>
          <w:b/>
          <w:bCs/>
          <w:color w:val="C00000"/>
        </w:rPr>
      </w:pPr>
      <w:r w:rsidRPr="00BD7796">
        <w:rPr>
          <w:rFonts w:ascii="Arial Black" w:hAnsi="Arial Black"/>
          <w:b/>
          <w:bCs/>
          <w:color w:val="C00000"/>
        </w:rPr>
        <w:t>If the job applicant cannot show their documents</w:t>
      </w:r>
    </w:p>
    <w:p w14:paraId="5260651E" w14:textId="77777777" w:rsidR="00BD7796" w:rsidRDefault="00BD7796" w:rsidP="00BD7796"/>
    <w:p w14:paraId="2EBE37CC" w14:textId="3D9D12CF" w:rsidR="00BD7796" w:rsidRPr="00BD7796" w:rsidRDefault="00BD7796" w:rsidP="00BD7796">
      <w:r w:rsidRPr="00BD7796">
        <w:t>You must </w:t>
      </w:r>
      <w:hyperlink r:id="rId22" w:history="1">
        <w:r w:rsidRPr="00BD7796">
          <w:rPr>
            <w:rStyle w:val="Hyperlink"/>
          </w:rPr>
          <w:t>ask the Home Office to check an employee’s or potential employee’s immigration status</w:t>
        </w:r>
      </w:hyperlink>
      <w:r>
        <w:t xml:space="preserve"> (link)</w:t>
      </w:r>
      <w:r w:rsidRPr="00BD7796">
        <w:t> if they cannot show their documents or online immigration status.</w:t>
      </w:r>
    </w:p>
    <w:p w14:paraId="736FBE25" w14:textId="77777777" w:rsidR="00BD7796" w:rsidRDefault="00BD7796" w:rsidP="00BD7796"/>
    <w:p w14:paraId="526F5231" w14:textId="5181964C" w:rsidR="00BD7796" w:rsidRDefault="00BD7796" w:rsidP="00BD7796">
      <w:r w:rsidRPr="00BD7796">
        <w:t>This could be, for example, because they:</w:t>
      </w:r>
    </w:p>
    <w:p w14:paraId="4042A6FD" w14:textId="77777777" w:rsidR="00BD7796" w:rsidRPr="00BD7796" w:rsidRDefault="00BD7796" w:rsidP="00BD7796"/>
    <w:p w14:paraId="13B10DC7" w14:textId="77777777" w:rsidR="00BD7796" w:rsidRPr="00BD7796" w:rsidRDefault="00BD7796" w:rsidP="00540DFE">
      <w:pPr>
        <w:numPr>
          <w:ilvl w:val="0"/>
          <w:numId w:val="13"/>
        </w:numPr>
      </w:pPr>
      <w:r w:rsidRPr="00BD7796">
        <w:t>have an outstanding appeal, review or application with the Home Office</w:t>
      </w:r>
    </w:p>
    <w:p w14:paraId="0A6A34F5" w14:textId="77777777" w:rsidR="00BD7796" w:rsidRDefault="00BD7796" w:rsidP="00540DFE">
      <w:pPr>
        <w:numPr>
          <w:ilvl w:val="0"/>
          <w:numId w:val="13"/>
        </w:numPr>
      </w:pPr>
      <w:r w:rsidRPr="00BD7796">
        <w:t>arrived in the UK before 1989 and do not have documents to prove their immigration status or right to work</w:t>
      </w:r>
    </w:p>
    <w:p w14:paraId="078BAEA4" w14:textId="77777777" w:rsidR="00BD7796" w:rsidRPr="00BD7796" w:rsidRDefault="00BD7796" w:rsidP="00BD7796"/>
    <w:p w14:paraId="277E4E2F" w14:textId="77777777" w:rsidR="00BD7796" w:rsidRDefault="00BD7796" w:rsidP="00BD7796">
      <w:r w:rsidRPr="00BD7796">
        <w:t>You must also ask the Home Office to check their status if they have:</w:t>
      </w:r>
    </w:p>
    <w:p w14:paraId="60FFD454" w14:textId="77777777" w:rsidR="00BD7796" w:rsidRPr="00BD7796" w:rsidRDefault="00BD7796" w:rsidP="00BD7796"/>
    <w:p w14:paraId="338A16E0" w14:textId="77777777" w:rsidR="00BD7796" w:rsidRPr="00BD7796" w:rsidRDefault="00BD7796" w:rsidP="00540DFE">
      <w:pPr>
        <w:numPr>
          <w:ilvl w:val="0"/>
          <w:numId w:val="14"/>
        </w:numPr>
      </w:pPr>
      <w:r w:rsidRPr="00BD7796">
        <w:t>a digital or non-digital Certificate of Application that says you need to ask the Home Office to check their right to work</w:t>
      </w:r>
    </w:p>
    <w:p w14:paraId="539C52E2" w14:textId="77777777" w:rsidR="00BD7796" w:rsidRDefault="00BD7796" w:rsidP="00540DFE">
      <w:pPr>
        <w:numPr>
          <w:ilvl w:val="0"/>
          <w:numId w:val="14"/>
        </w:numPr>
      </w:pPr>
      <w:r w:rsidRPr="00BD7796">
        <w:t>an Application Registration Card</w:t>
      </w:r>
    </w:p>
    <w:p w14:paraId="11A68562" w14:textId="77777777" w:rsidR="00BD7796" w:rsidRPr="00BD7796" w:rsidRDefault="00BD7796" w:rsidP="00BD7796">
      <w:pPr>
        <w:ind w:left="720"/>
      </w:pPr>
    </w:p>
    <w:p w14:paraId="2F249B31" w14:textId="77777777" w:rsidR="00BD7796" w:rsidRPr="00BD7796" w:rsidRDefault="00BD7796" w:rsidP="00BD7796">
      <w:r w:rsidRPr="00BD7796">
        <w:t>Application Registration Cards must state that the work the employer is offering is permitted.</w:t>
      </w:r>
    </w:p>
    <w:p w14:paraId="2A6280A4" w14:textId="77777777" w:rsidR="00BD7796" w:rsidRDefault="00BD7796" w:rsidP="00BD7796">
      <w:r w:rsidRPr="00BD7796">
        <w:t>The Home Office will send you a ‘Positive Verification Notice’ to confirm that the applicant has the right to work. You must keep this document.</w:t>
      </w:r>
    </w:p>
    <w:p w14:paraId="4B17AD51" w14:textId="77777777" w:rsidR="00BD7796" w:rsidRDefault="00BD7796" w:rsidP="00BD7796"/>
    <w:p w14:paraId="45ADAD2F" w14:textId="3A1ABFB9" w:rsidR="00BD7796" w:rsidRDefault="00BD7796" w:rsidP="00BD7796">
      <w:r>
        <w:t xml:space="preserve">The Resourcing team have attached a Right to Work Checklist to the Resourcing web pages, which details the acceptable documents for RTW checks. </w:t>
      </w:r>
      <w:r w:rsidR="004003E0">
        <w:t xml:space="preserve">This is also sent to all applicants going through pre-employment checks. </w:t>
      </w:r>
    </w:p>
    <w:p w14:paraId="2EC84D83" w14:textId="77777777" w:rsidR="00BD7796" w:rsidRDefault="00BD7796" w:rsidP="00BD7796"/>
    <w:p w14:paraId="550A8B7F" w14:textId="032E3C3F" w:rsidR="00BD7796" w:rsidRDefault="00BD7796" w:rsidP="00BD7796">
      <w:r>
        <w:lastRenderedPageBreak/>
        <w:t xml:space="preserve">More information on RTW Identity Check Rules can be found at </w:t>
      </w:r>
      <w:r w:rsidRPr="00BD7796">
        <w:rPr>
          <w:b/>
          <w:bCs/>
          <w:color w:val="C00000"/>
        </w:rPr>
        <w:t>Appendix A</w:t>
      </w:r>
      <w:r w:rsidR="004003E0">
        <w:rPr>
          <w:b/>
          <w:bCs/>
          <w:color w:val="C00000"/>
        </w:rPr>
        <w:t xml:space="preserve">, </w:t>
      </w:r>
      <w:r w:rsidR="004003E0" w:rsidRPr="004003E0">
        <w:t>and a list of documents can be found at</w:t>
      </w:r>
      <w:r w:rsidR="004003E0" w:rsidRPr="004003E0">
        <w:rPr>
          <w:b/>
          <w:bCs/>
        </w:rPr>
        <w:t xml:space="preserve"> </w:t>
      </w:r>
      <w:r w:rsidR="004003E0">
        <w:rPr>
          <w:b/>
          <w:bCs/>
          <w:color w:val="C00000"/>
        </w:rPr>
        <w:t xml:space="preserve">Appendix B. </w:t>
      </w:r>
      <w:r w:rsidRPr="00BD7796">
        <w:rPr>
          <w:color w:val="C00000"/>
        </w:rPr>
        <w:t xml:space="preserve"> </w:t>
      </w:r>
    </w:p>
    <w:p w14:paraId="3248697B" w14:textId="77777777" w:rsidR="00FD5ED5" w:rsidRDefault="00FD5ED5" w:rsidP="00FD5ED5"/>
    <w:p w14:paraId="3E3DA8D5" w14:textId="77777777" w:rsidR="004E1321" w:rsidRDefault="004E1321" w:rsidP="00480006"/>
    <w:p w14:paraId="598C4016" w14:textId="77777777" w:rsidR="004E1321" w:rsidRDefault="004E1321" w:rsidP="00480006"/>
    <w:p w14:paraId="70DDA2ED" w14:textId="77777777" w:rsidR="004E1321" w:rsidRDefault="004E1321" w:rsidP="00480006"/>
    <w:p w14:paraId="4A7E9246" w14:textId="77777777" w:rsidR="004E1321" w:rsidRDefault="004E1321" w:rsidP="00480006"/>
    <w:p w14:paraId="4630A20B" w14:textId="77777777" w:rsidR="004E1321" w:rsidRDefault="004E1321" w:rsidP="00480006"/>
    <w:p w14:paraId="7B3C9C31" w14:textId="77777777" w:rsidR="00480006" w:rsidRDefault="00480006" w:rsidP="00480006"/>
    <w:p w14:paraId="5B29B8C8" w14:textId="77777777" w:rsidR="00480006" w:rsidRDefault="00480006" w:rsidP="00480006"/>
    <w:p w14:paraId="0175CDA5" w14:textId="77777777" w:rsidR="00480006" w:rsidRDefault="00480006" w:rsidP="00480006"/>
    <w:p w14:paraId="14A6A079" w14:textId="77777777" w:rsidR="00480006" w:rsidRDefault="00480006" w:rsidP="00480006"/>
    <w:p w14:paraId="24CF9A54" w14:textId="77777777" w:rsidR="00480006" w:rsidRDefault="00480006" w:rsidP="00480006"/>
    <w:p w14:paraId="1B8B4924" w14:textId="77777777" w:rsidR="00480006" w:rsidRDefault="00480006" w:rsidP="00480006"/>
    <w:p w14:paraId="1090FF35" w14:textId="77777777" w:rsidR="00480006" w:rsidRDefault="00480006" w:rsidP="00480006"/>
    <w:p w14:paraId="4F5E16A6" w14:textId="77777777" w:rsidR="00480006" w:rsidRDefault="00480006" w:rsidP="00480006"/>
    <w:p w14:paraId="462C2AD3" w14:textId="77777777" w:rsidR="00480006" w:rsidRDefault="00480006" w:rsidP="00480006">
      <w:pPr>
        <w:rPr>
          <w:bCs/>
        </w:rPr>
      </w:pPr>
    </w:p>
    <w:p w14:paraId="493622A3" w14:textId="77777777" w:rsidR="00480006" w:rsidRDefault="00480006" w:rsidP="00480006">
      <w:pPr>
        <w:rPr>
          <w:bCs/>
        </w:rPr>
      </w:pPr>
    </w:p>
    <w:p w14:paraId="532B4BD3" w14:textId="77777777" w:rsidR="00480006" w:rsidRDefault="00480006" w:rsidP="00480006">
      <w:pPr>
        <w:rPr>
          <w:bCs/>
        </w:rPr>
      </w:pPr>
    </w:p>
    <w:p w14:paraId="4B37FCAC" w14:textId="77777777" w:rsidR="00480006" w:rsidRDefault="00480006" w:rsidP="00480006">
      <w:pPr>
        <w:rPr>
          <w:bCs/>
        </w:rPr>
      </w:pPr>
    </w:p>
    <w:p w14:paraId="1AC2CAC2" w14:textId="77777777" w:rsidR="00480006" w:rsidRDefault="00480006" w:rsidP="00480006">
      <w:pPr>
        <w:rPr>
          <w:bCs/>
        </w:rPr>
      </w:pPr>
    </w:p>
    <w:p w14:paraId="38E19CF2" w14:textId="77777777" w:rsidR="00480006" w:rsidRDefault="00480006" w:rsidP="00480006">
      <w:pPr>
        <w:rPr>
          <w:bCs/>
        </w:rPr>
      </w:pPr>
    </w:p>
    <w:p w14:paraId="628ACF33" w14:textId="77777777" w:rsidR="00480006" w:rsidRDefault="00480006" w:rsidP="00480006">
      <w:pPr>
        <w:rPr>
          <w:bCs/>
        </w:rPr>
      </w:pPr>
    </w:p>
    <w:p w14:paraId="48CAE0E7" w14:textId="77777777" w:rsidR="00480006" w:rsidRDefault="00480006" w:rsidP="00480006">
      <w:pPr>
        <w:rPr>
          <w:bCs/>
        </w:rPr>
      </w:pPr>
    </w:p>
    <w:p w14:paraId="51B917DD" w14:textId="77777777" w:rsidR="00480006" w:rsidRDefault="00480006" w:rsidP="00480006">
      <w:pPr>
        <w:rPr>
          <w:bCs/>
        </w:rPr>
      </w:pPr>
    </w:p>
    <w:p w14:paraId="48D6EDCB" w14:textId="77777777" w:rsidR="00480006" w:rsidRDefault="00480006" w:rsidP="00480006">
      <w:pPr>
        <w:rPr>
          <w:bCs/>
        </w:rPr>
      </w:pPr>
    </w:p>
    <w:p w14:paraId="18875E82" w14:textId="77777777" w:rsidR="00480006" w:rsidRDefault="00480006" w:rsidP="00480006">
      <w:pPr>
        <w:rPr>
          <w:bCs/>
        </w:rPr>
      </w:pPr>
    </w:p>
    <w:p w14:paraId="152CA318" w14:textId="77777777" w:rsidR="00480006" w:rsidRDefault="00480006" w:rsidP="00480006">
      <w:pPr>
        <w:rPr>
          <w:bCs/>
        </w:rPr>
      </w:pPr>
    </w:p>
    <w:p w14:paraId="0F57080F" w14:textId="77777777" w:rsidR="00480006" w:rsidRDefault="00480006" w:rsidP="00480006">
      <w:pPr>
        <w:rPr>
          <w:bCs/>
        </w:rPr>
      </w:pPr>
    </w:p>
    <w:p w14:paraId="6E346BD5" w14:textId="77777777" w:rsidR="00480006" w:rsidRDefault="00480006" w:rsidP="00480006">
      <w:pPr>
        <w:rPr>
          <w:bCs/>
        </w:rPr>
      </w:pPr>
    </w:p>
    <w:p w14:paraId="3341561A" w14:textId="77777777" w:rsidR="00480006" w:rsidRDefault="00480006" w:rsidP="00480006">
      <w:pPr>
        <w:rPr>
          <w:bCs/>
        </w:rPr>
      </w:pPr>
    </w:p>
    <w:p w14:paraId="11406BF8" w14:textId="77777777" w:rsidR="00480006" w:rsidRDefault="00480006" w:rsidP="00480006">
      <w:pPr>
        <w:rPr>
          <w:bCs/>
        </w:rPr>
      </w:pPr>
    </w:p>
    <w:p w14:paraId="564454CF" w14:textId="77777777" w:rsidR="00480006" w:rsidRDefault="00480006" w:rsidP="00480006">
      <w:pPr>
        <w:rPr>
          <w:bCs/>
        </w:rPr>
      </w:pPr>
    </w:p>
    <w:p w14:paraId="57D63BE3" w14:textId="77777777" w:rsidR="00480006" w:rsidRDefault="00480006" w:rsidP="00480006">
      <w:pPr>
        <w:rPr>
          <w:bCs/>
        </w:rPr>
      </w:pPr>
    </w:p>
    <w:p w14:paraId="19B90E44" w14:textId="77777777" w:rsidR="00480006" w:rsidRDefault="00480006" w:rsidP="00480006">
      <w:pPr>
        <w:rPr>
          <w:bCs/>
        </w:rPr>
      </w:pPr>
    </w:p>
    <w:p w14:paraId="1AD61449" w14:textId="77777777" w:rsidR="00480006" w:rsidRDefault="00480006" w:rsidP="00480006">
      <w:pPr>
        <w:rPr>
          <w:bCs/>
        </w:rPr>
      </w:pPr>
    </w:p>
    <w:p w14:paraId="7F1CFB95" w14:textId="77777777" w:rsidR="00480006" w:rsidRDefault="00480006" w:rsidP="00480006">
      <w:pPr>
        <w:rPr>
          <w:bCs/>
        </w:rPr>
      </w:pPr>
    </w:p>
    <w:p w14:paraId="2CADEEAE" w14:textId="77777777" w:rsidR="00480006" w:rsidRDefault="00480006" w:rsidP="00480006">
      <w:pPr>
        <w:rPr>
          <w:bCs/>
        </w:rPr>
      </w:pPr>
    </w:p>
    <w:p w14:paraId="4CDDAFF5" w14:textId="77777777" w:rsidR="00480006" w:rsidRDefault="00480006" w:rsidP="00480006">
      <w:pPr>
        <w:rPr>
          <w:bCs/>
        </w:rPr>
      </w:pPr>
    </w:p>
    <w:p w14:paraId="184B78AB" w14:textId="77777777" w:rsidR="00480006" w:rsidRDefault="00480006" w:rsidP="00480006">
      <w:pPr>
        <w:rPr>
          <w:bCs/>
        </w:rPr>
      </w:pPr>
    </w:p>
    <w:p w14:paraId="7379BC75" w14:textId="2A22E8D8" w:rsidR="000A43F9" w:rsidRPr="00BD7796" w:rsidRDefault="000A43F9" w:rsidP="004003E0">
      <w:pPr>
        <w:pStyle w:val="Heading1"/>
        <w:rPr>
          <w:bCs w:val="0"/>
          <w:szCs w:val="24"/>
        </w:rPr>
      </w:pPr>
      <w:bookmarkStart w:id="27" w:name="_Toc210990753"/>
      <w:r>
        <w:rPr>
          <w:bCs w:val="0"/>
          <w:szCs w:val="24"/>
        </w:rPr>
        <w:lastRenderedPageBreak/>
        <w:t xml:space="preserve">APPENDIX A </w:t>
      </w:r>
      <w:r w:rsidR="004003E0">
        <w:rPr>
          <w:bCs w:val="0"/>
          <w:szCs w:val="24"/>
        </w:rPr>
        <w:t>– Identity Checking for Right to Work</w:t>
      </w:r>
      <w:bookmarkEnd w:id="27"/>
    </w:p>
    <w:p w14:paraId="5A8474FE" w14:textId="77777777" w:rsidR="000A43F9" w:rsidRDefault="000A43F9" w:rsidP="00363F3E">
      <w:pPr>
        <w:pStyle w:val="next"/>
        <w:spacing w:after="0"/>
        <w:rPr>
          <w:bCs/>
          <w:szCs w:val="24"/>
        </w:rPr>
      </w:pPr>
    </w:p>
    <w:p w14:paraId="7424B5A5" w14:textId="188F6660" w:rsidR="004003E0" w:rsidRDefault="004003E0" w:rsidP="004003E0">
      <w:pPr>
        <w:rPr>
          <w:rFonts w:ascii="Arial Black" w:hAnsi="Arial Black"/>
          <w:b/>
          <w:bCs/>
          <w:color w:val="C00000"/>
        </w:rPr>
      </w:pPr>
      <w:r w:rsidRPr="004003E0">
        <w:rPr>
          <w:rFonts w:ascii="Arial Black" w:hAnsi="Arial Black"/>
          <w:b/>
          <w:bCs/>
          <w:color w:val="C00000"/>
        </w:rPr>
        <w:t>Identity check rules</w:t>
      </w:r>
    </w:p>
    <w:p w14:paraId="51C1B7FD" w14:textId="77777777" w:rsidR="004003E0" w:rsidRPr="004003E0" w:rsidRDefault="004003E0" w:rsidP="004003E0">
      <w:pPr>
        <w:rPr>
          <w:rFonts w:ascii="Arial Black" w:hAnsi="Arial Black"/>
          <w:b/>
          <w:bCs/>
          <w:color w:val="C00000"/>
        </w:rPr>
      </w:pPr>
    </w:p>
    <w:p w14:paraId="3F596557" w14:textId="77777777" w:rsidR="004003E0" w:rsidRDefault="004003E0" w:rsidP="004003E0">
      <w:pPr>
        <w:pStyle w:val="next"/>
        <w:spacing w:after="0"/>
        <w:rPr>
          <w:bCs/>
        </w:rPr>
      </w:pPr>
      <w:r w:rsidRPr="004003E0">
        <w:rPr>
          <w:bCs/>
        </w:rPr>
        <w:t>The identity checker cannot verify the identity of a relative or partner, people who live in the same house as them, or a personal friend.</w:t>
      </w:r>
    </w:p>
    <w:p w14:paraId="4618E265" w14:textId="77777777" w:rsidR="004003E0" w:rsidRPr="004003E0" w:rsidRDefault="004003E0" w:rsidP="004003E0">
      <w:pPr>
        <w:pStyle w:val="next"/>
        <w:spacing w:after="0"/>
        <w:rPr>
          <w:bCs/>
        </w:rPr>
      </w:pPr>
    </w:p>
    <w:p w14:paraId="639191BF" w14:textId="77777777" w:rsidR="004003E0" w:rsidRPr="004003E0" w:rsidRDefault="004003E0" w:rsidP="004003E0">
      <w:pPr>
        <w:pStyle w:val="next"/>
        <w:spacing w:after="0"/>
        <w:rPr>
          <w:bCs/>
        </w:rPr>
      </w:pPr>
      <w:r w:rsidRPr="004003E0">
        <w:rPr>
          <w:bCs/>
        </w:rPr>
        <w:t>The ID checker </w:t>
      </w:r>
      <w:r w:rsidRPr="004003E0">
        <w:rPr>
          <w:b/>
          <w:bCs/>
        </w:rPr>
        <w:t>must</w:t>
      </w:r>
      <w:r w:rsidRPr="004003E0">
        <w:rPr>
          <w:bCs/>
        </w:rPr>
        <w:t>:</w:t>
      </w:r>
    </w:p>
    <w:p w14:paraId="62912FBD" w14:textId="77777777" w:rsidR="004003E0" w:rsidRPr="004003E0" w:rsidRDefault="004003E0" w:rsidP="00540DFE">
      <w:pPr>
        <w:pStyle w:val="next"/>
        <w:numPr>
          <w:ilvl w:val="0"/>
          <w:numId w:val="15"/>
        </w:numPr>
        <w:spacing w:after="0"/>
        <w:rPr>
          <w:bCs/>
        </w:rPr>
      </w:pPr>
      <w:r w:rsidRPr="004003E0">
        <w:rPr>
          <w:bCs/>
        </w:rPr>
        <w:t>Make sure that any details of current passport, UK driving licence and National Insurance Number are included on the paper or electronic application form. </w:t>
      </w:r>
    </w:p>
    <w:p w14:paraId="76E16051" w14:textId="77777777" w:rsidR="004003E0" w:rsidRPr="004003E0" w:rsidRDefault="004003E0" w:rsidP="00540DFE">
      <w:pPr>
        <w:pStyle w:val="next"/>
        <w:numPr>
          <w:ilvl w:val="0"/>
          <w:numId w:val="15"/>
        </w:numPr>
        <w:spacing w:after="0"/>
        <w:rPr>
          <w:bCs/>
        </w:rPr>
      </w:pPr>
      <w:r w:rsidRPr="004003E0">
        <w:rPr>
          <w:bCs/>
        </w:rPr>
        <w:t xml:space="preserve">Follow the three route ID checking guidance set out </w:t>
      </w:r>
      <w:r w:rsidRPr="004003E0">
        <w:rPr>
          <w:bCs/>
          <w:color w:val="C00000"/>
        </w:rPr>
        <w:t>below</w:t>
      </w:r>
      <w:r w:rsidRPr="004003E0">
        <w:rPr>
          <w:bCs/>
        </w:rPr>
        <w:t>. </w:t>
      </w:r>
    </w:p>
    <w:p w14:paraId="3F38EA87" w14:textId="77777777" w:rsidR="004003E0" w:rsidRPr="004003E0" w:rsidRDefault="004003E0" w:rsidP="00540DFE">
      <w:pPr>
        <w:pStyle w:val="next"/>
        <w:numPr>
          <w:ilvl w:val="0"/>
          <w:numId w:val="15"/>
        </w:numPr>
        <w:spacing w:after="0"/>
        <w:rPr>
          <w:bCs/>
        </w:rPr>
      </w:pPr>
      <w:r w:rsidRPr="004003E0">
        <w:rPr>
          <w:bCs/>
        </w:rPr>
        <w:t>Seek photographic identity documents (passport, driving licence, e-Visa or PASS card) in the first instance. This can be used to compare the applicant’s likeness. Check and validate the information provided on the application form by the applicant. </w:t>
      </w:r>
    </w:p>
    <w:p w14:paraId="058A147D" w14:textId="77777777" w:rsidR="004003E0" w:rsidRPr="004003E0" w:rsidRDefault="004003E0" w:rsidP="00540DFE">
      <w:pPr>
        <w:pStyle w:val="next"/>
        <w:numPr>
          <w:ilvl w:val="0"/>
          <w:numId w:val="15"/>
        </w:numPr>
        <w:spacing w:after="0"/>
        <w:rPr>
          <w:bCs/>
        </w:rPr>
      </w:pPr>
      <w:r w:rsidRPr="004003E0">
        <w:rPr>
          <w:bCs/>
        </w:rPr>
        <w:t>Check that the application form is completed in full and the information it contains is accurate.  For example, that all addresses lived at in the last 5 years and names known by have been declared and are accurate. Failure to do this can result in delays in processing and the withdrawal of applications. </w:t>
      </w:r>
    </w:p>
    <w:p w14:paraId="1D40B1EA" w14:textId="6FE4E47E" w:rsidR="004003E0" w:rsidRPr="004003E0" w:rsidRDefault="004003E0" w:rsidP="00540DFE">
      <w:pPr>
        <w:pStyle w:val="next"/>
        <w:numPr>
          <w:ilvl w:val="0"/>
          <w:numId w:val="15"/>
        </w:numPr>
        <w:spacing w:after="0"/>
        <w:rPr>
          <w:bCs/>
        </w:rPr>
      </w:pPr>
      <w:r w:rsidRPr="004003E0">
        <w:rPr>
          <w:bCs/>
        </w:rPr>
        <w:t>Make sure the applicant fills in the address part of the form correctly if they have an </w:t>
      </w:r>
      <w:hyperlink r:id="rId23" w:history="1">
        <w:r w:rsidRPr="004003E0">
          <w:rPr>
            <w:rStyle w:val="Hyperlink"/>
            <w:bCs/>
          </w:rPr>
          <w:t>unusual address</w:t>
        </w:r>
      </w:hyperlink>
      <w:r>
        <w:rPr>
          <w:bCs/>
        </w:rPr>
        <w:t xml:space="preserve"> (link)</w:t>
      </w:r>
      <w:r w:rsidRPr="004003E0">
        <w:rPr>
          <w:bCs/>
        </w:rPr>
        <w:t>, for example if they live abroad, in student accommodation or a hostel. </w:t>
      </w:r>
    </w:p>
    <w:p w14:paraId="55F621D1" w14:textId="77777777" w:rsidR="004003E0" w:rsidRPr="004003E0" w:rsidRDefault="004003E0" w:rsidP="00540DFE">
      <w:pPr>
        <w:pStyle w:val="next"/>
        <w:numPr>
          <w:ilvl w:val="0"/>
          <w:numId w:val="15"/>
        </w:numPr>
        <w:spacing w:after="0"/>
        <w:rPr>
          <w:bCs/>
        </w:rPr>
      </w:pPr>
      <w:r w:rsidRPr="004003E0">
        <w:rPr>
          <w:bCs/>
        </w:rPr>
        <w:t>Use a document type only once in the document count. For example, don’t accept two bank statements as two of the required documents if they are from the same bank. </w:t>
      </w:r>
    </w:p>
    <w:p w14:paraId="5E7C3786" w14:textId="77777777" w:rsidR="004003E0" w:rsidRPr="004003E0" w:rsidRDefault="004003E0" w:rsidP="00540DFE">
      <w:pPr>
        <w:pStyle w:val="next"/>
        <w:numPr>
          <w:ilvl w:val="0"/>
          <w:numId w:val="15"/>
        </w:numPr>
        <w:spacing w:after="0"/>
        <w:rPr>
          <w:bCs/>
        </w:rPr>
      </w:pPr>
      <w:r w:rsidRPr="004003E0">
        <w:rPr>
          <w:bCs/>
        </w:rPr>
        <w:t>Not alter or amend the application form without the knowledge or agreement of the applicant. </w:t>
      </w:r>
    </w:p>
    <w:p w14:paraId="247A26AB" w14:textId="1005AC02" w:rsidR="004003E0" w:rsidRPr="004003E0" w:rsidRDefault="004003E0" w:rsidP="00540DFE">
      <w:pPr>
        <w:pStyle w:val="next"/>
        <w:numPr>
          <w:ilvl w:val="0"/>
          <w:numId w:val="15"/>
        </w:numPr>
        <w:spacing w:after="0"/>
        <w:rPr>
          <w:bCs/>
        </w:rPr>
      </w:pPr>
      <w:r w:rsidRPr="004003E0">
        <w:rPr>
          <w:bCs/>
        </w:rPr>
        <w:t xml:space="preserve">Keep a record of the documents used to validate each identity for a minimum of 2 years. This is to aid fraud investigation work carried out by DBS. DBS may ask for records of documents checked as part of ID verification as part of this process. Documents associated with applications up to 3 months old will also be requested as part of our routine compliance activity.  Documents can be recorded as copies of physical documents or PDF evidence of </w:t>
      </w:r>
      <w:proofErr w:type="spellStart"/>
      <w:r w:rsidRPr="004003E0">
        <w:rPr>
          <w:bCs/>
        </w:rPr>
        <w:t>eVisa</w:t>
      </w:r>
      <w:proofErr w:type="spellEnd"/>
      <w:r w:rsidRPr="004003E0">
        <w:rPr>
          <w:bCs/>
        </w:rPr>
        <w:t>. If it is not possible to keep copies you must record: </w:t>
      </w:r>
    </w:p>
    <w:p w14:paraId="49D4BF3A" w14:textId="77777777" w:rsidR="004003E0" w:rsidRPr="004003E0" w:rsidRDefault="004003E0" w:rsidP="00540DFE">
      <w:pPr>
        <w:pStyle w:val="next"/>
        <w:numPr>
          <w:ilvl w:val="1"/>
          <w:numId w:val="15"/>
        </w:numPr>
        <w:spacing w:after="0"/>
        <w:rPr>
          <w:bCs/>
        </w:rPr>
      </w:pPr>
      <w:r w:rsidRPr="004003E0">
        <w:rPr>
          <w:bCs/>
        </w:rPr>
        <w:t>document type, </w:t>
      </w:r>
    </w:p>
    <w:p w14:paraId="01B8DF61" w14:textId="77777777" w:rsidR="004003E0" w:rsidRPr="004003E0" w:rsidRDefault="004003E0" w:rsidP="00540DFE">
      <w:pPr>
        <w:pStyle w:val="next"/>
        <w:numPr>
          <w:ilvl w:val="1"/>
          <w:numId w:val="15"/>
        </w:numPr>
        <w:spacing w:after="0"/>
        <w:rPr>
          <w:bCs/>
        </w:rPr>
      </w:pPr>
      <w:r w:rsidRPr="004003E0">
        <w:rPr>
          <w:bCs/>
        </w:rPr>
        <w:t>country of issue </w:t>
      </w:r>
    </w:p>
    <w:p w14:paraId="2C5E2E68" w14:textId="77777777" w:rsidR="004003E0" w:rsidRPr="004003E0" w:rsidRDefault="004003E0" w:rsidP="00540DFE">
      <w:pPr>
        <w:pStyle w:val="next"/>
        <w:numPr>
          <w:ilvl w:val="1"/>
          <w:numId w:val="15"/>
        </w:numPr>
        <w:spacing w:after="0"/>
        <w:rPr>
          <w:bCs/>
        </w:rPr>
      </w:pPr>
      <w:r w:rsidRPr="004003E0">
        <w:rPr>
          <w:bCs/>
        </w:rPr>
        <w:t>any expiry date, </w:t>
      </w:r>
    </w:p>
    <w:p w14:paraId="34271F08" w14:textId="77777777" w:rsidR="004003E0" w:rsidRPr="004003E0" w:rsidRDefault="004003E0" w:rsidP="00540DFE">
      <w:pPr>
        <w:pStyle w:val="next"/>
        <w:numPr>
          <w:ilvl w:val="1"/>
          <w:numId w:val="15"/>
        </w:numPr>
        <w:spacing w:after="0"/>
        <w:rPr>
          <w:bCs/>
        </w:rPr>
      </w:pPr>
      <w:r w:rsidRPr="004003E0">
        <w:rPr>
          <w:bCs/>
        </w:rPr>
        <w:t>any reference numbers, and </w:t>
      </w:r>
    </w:p>
    <w:p w14:paraId="5BDE38D1" w14:textId="77777777" w:rsidR="004003E0" w:rsidRPr="004003E0" w:rsidRDefault="004003E0" w:rsidP="00540DFE">
      <w:pPr>
        <w:pStyle w:val="next"/>
        <w:numPr>
          <w:ilvl w:val="1"/>
          <w:numId w:val="15"/>
        </w:numPr>
        <w:spacing w:after="0"/>
        <w:rPr>
          <w:bCs/>
        </w:rPr>
      </w:pPr>
      <w:r w:rsidRPr="004003E0">
        <w:rPr>
          <w:bCs/>
        </w:rPr>
        <w:t>notes if there were any discrepancies discussed as part of the ID verification process. </w:t>
      </w:r>
    </w:p>
    <w:p w14:paraId="15490657" w14:textId="77777777" w:rsidR="004003E0" w:rsidRDefault="004003E0" w:rsidP="004003E0">
      <w:pPr>
        <w:pStyle w:val="next"/>
        <w:spacing w:after="0"/>
        <w:ind w:left="720"/>
        <w:rPr>
          <w:bCs/>
        </w:rPr>
      </w:pPr>
    </w:p>
    <w:p w14:paraId="77368BA1" w14:textId="74164459" w:rsidR="004003E0" w:rsidRDefault="004003E0" w:rsidP="00540DFE">
      <w:pPr>
        <w:pStyle w:val="next"/>
        <w:numPr>
          <w:ilvl w:val="0"/>
          <w:numId w:val="15"/>
        </w:numPr>
        <w:spacing w:after="0"/>
        <w:rPr>
          <w:bCs/>
        </w:rPr>
      </w:pPr>
      <w:r w:rsidRPr="004003E0">
        <w:rPr>
          <w:bCs/>
        </w:rPr>
        <w:t>Make sure the applicant downloads and completes a </w:t>
      </w:r>
      <w:hyperlink r:id="rId24" w:history="1">
        <w:r w:rsidRPr="004003E0">
          <w:rPr>
            <w:rStyle w:val="Hyperlink"/>
            <w:bCs/>
          </w:rPr>
          <w:t>DBS continuation sheet</w:t>
        </w:r>
      </w:hyperlink>
      <w:r w:rsidRPr="004003E0">
        <w:rPr>
          <w:bCs/>
        </w:rPr>
        <w:t> for additional information they can’t fit on the DBS application form.</w:t>
      </w:r>
    </w:p>
    <w:p w14:paraId="1F6DEFBB" w14:textId="77777777" w:rsidR="004003E0" w:rsidRPr="004003E0" w:rsidRDefault="004003E0" w:rsidP="004003E0">
      <w:pPr>
        <w:pStyle w:val="next"/>
        <w:spacing w:after="0"/>
        <w:rPr>
          <w:bCs/>
        </w:rPr>
      </w:pPr>
    </w:p>
    <w:p w14:paraId="02979A4D" w14:textId="77777777" w:rsidR="004003E0" w:rsidRPr="004003E0" w:rsidRDefault="004003E0" w:rsidP="004003E0">
      <w:pPr>
        <w:rPr>
          <w:rFonts w:ascii="Arial Black" w:hAnsi="Arial Black"/>
          <w:b/>
          <w:bCs/>
          <w:color w:val="C00000"/>
        </w:rPr>
      </w:pPr>
      <w:r w:rsidRPr="004003E0">
        <w:rPr>
          <w:rFonts w:ascii="Arial Black" w:hAnsi="Arial Black"/>
          <w:b/>
          <w:bCs/>
          <w:color w:val="C00000"/>
        </w:rPr>
        <w:t>How to view ID documents</w:t>
      </w:r>
    </w:p>
    <w:p w14:paraId="1831307E" w14:textId="77777777" w:rsidR="004003E0" w:rsidRDefault="004003E0" w:rsidP="004003E0">
      <w:pPr>
        <w:pStyle w:val="next"/>
        <w:spacing w:after="0"/>
        <w:rPr>
          <w:bCs/>
        </w:rPr>
      </w:pPr>
      <w:r w:rsidRPr="004003E0">
        <w:rPr>
          <w:bCs/>
        </w:rPr>
        <w:lastRenderedPageBreak/>
        <w:t xml:space="preserve">There are three ways in which ID documents can be viewed and validated. </w:t>
      </w:r>
      <w:r>
        <w:rPr>
          <w:bCs/>
        </w:rPr>
        <w:t>CFRS</w:t>
      </w:r>
      <w:r w:rsidRPr="004003E0">
        <w:rPr>
          <w:bCs/>
        </w:rPr>
        <w:t xml:space="preserve"> </w:t>
      </w:r>
      <w:r w:rsidRPr="004003E0">
        <w:rPr>
          <w:b/>
        </w:rPr>
        <w:t>must</w:t>
      </w:r>
      <w:r w:rsidRPr="004003E0">
        <w:rPr>
          <w:bCs/>
        </w:rPr>
        <w:t xml:space="preserve"> use option one unless it is not practical to have a face-to-face appointment with the applicant. </w:t>
      </w:r>
    </w:p>
    <w:p w14:paraId="45D8CD1E" w14:textId="77777777" w:rsidR="004003E0" w:rsidRDefault="004003E0" w:rsidP="004003E0">
      <w:pPr>
        <w:pStyle w:val="next"/>
        <w:spacing w:after="0"/>
        <w:rPr>
          <w:bCs/>
        </w:rPr>
      </w:pPr>
    </w:p>
    <w:p w14:paraId="0D07245D" w14:textId="77E914E9" w:rsidR="004003E0" w:rsidRDefault="004003E0" w:rsidP="004003E0">
      <w:pPr>
        <w:pStyle w:val="next"/>
        <w:spacing w:after="0"/>
        <w:rPr>
          <w:bCs/>
        </w:rPr>
      </w:pPr>
      <w:r>
        <w:rPr>
          <w:bCs/>
        </w:rPr>
        <w:t>If CFRS</w:t>
      </w:r>
      <w:r w:rsidRPr="004003E0">
        <w:rPr>
          <w:bCs/>
        </w:rPr>
        <w:t xml:space="preserve"> are unable to use option one</w:t>
      </w:r>
      <w:r>
        <w:rPr>
          <w:bCs/>
        </w:rPr>
        <w:t>, this must be discussed with the Resourcing team and</w:t>
      </w:r>
      <w:r w:rsidRPr="004003E0">
        <w:rPr>
          <w:bCs/>
        </w:rPr>
        <w:t xml:space="preserve"> the reasons need to be recorded and option two can be considered. If option two is not practical the reasons must be recorded and option three can be used. The rationale behind the use of options two or three </w:t>
      </w:r>
      <w:r w:rsidRPr="004003E0">
        <w:rPr>
          <w:b/>
        </w:rPr>
        <w:t>must be kept</w:t>
      </w:r>
      <w:r w:rsidRPr="004003E0">
        <w:rPr>
          <w:bCs/>
        </w:rPr>
        <w:t>. A record of the documents used to validate the identity must be kept for a minimum of 2 years regardless of which option is used. </w:t>
      </w:r>
    </w:p>
    <w:p w14:paraId="28346A59" w14:textId="77777777" w:rsidR="004003E0" w:rsidRPr="004003E0" w:rsidRDefault="004003E0" w:rsidP="004003E0">
      <w:pPr>
        <w:pStyle w:val="next"/>
        <w:spacing w:after="0"/>
        <w:rPr>
          <w:bCs/>
        </w:rPr>
      </w:pPr>
    </w:p>
    <w:p w14:paraId="3CD13B45" w14:textId="77777777" w:rsidR="004003E0" w:rsidRDefault="004003E0" w:rsidP="004003E0">
      <w:pPr>
        <w:pStyle w:val="next"/>
        <w:spacing w:after="0"/>
        <w:rPr>
          <w:bCs/>
        </w:rPr>
      </w:pPr>
      <w:r w:rsidRPr="004003E0">
        <w:rPr>
          <w:bCs/>
        </w:rPr>
        <w:t>All documents </w:t>
      </w:r>
      <w:r w:rsidRPr="004003E0">
        <w:rPr>
          <w:b/>
          <w:bCs/>
        </w:rPr>
        <w:t>must be physical documents</w:t>
      </w:r>
      <w:r w:rsidRPr="004003E0">
        <w:rPr>
          <w:bCs/>
        </w:rPr>
        <w:t xml:space="preserve">, unless you are viewing the applicant’s </w:t>
      </w:r>
      <w:proofErr w:type="spellStart"/>
      <w:r w:rsidRPr="004003E0">
        <w:rPr>
          <w:bCs/>
        </w:rPr>
        <w:t>eVisa</w:t>
      </w:r>
      <w:proofErr w:type="spellEnd"/>
      <w:r w:rsidRPr="004003E0">
        <w:rPr>
          <w:bCs/>
        </w:rPr>
        <w:t xml:space="preserve"> on the Home Office “View and Prove” site or a digital PASS card with QR code that has been checked. </w:t>
      </w:r>
    </w:p>
    <w:p w14:paraId="1EA41AB6" w14:textId="77777777" w:rsidR="004003E0" w:rsidRDefault="004003E0" w:rsidP="004003E0">
      <w:pPr>
        <w:pStyle w:val="next"/>
        <w:spacing w:after="0"/>
        <w:rPr>
          <w:bCs/>
        </w:rPr>
      </w:pPr>
    </w:p>
    <w:p w14:paraId="2AE75A65" w14:textId="77777777" w:rsidR="004003E0" w:rsidRDefault="004003E0" w:rsidP="004003E0">
      <w:pPr>
        <w:pStyle w:val="next"/>
        <w:spacing w:after="0"/>
        <w:rPr>
          <w:bCs/>
        </w:rPr>
      </w:pPr>
      <w:r>
        <w:rPr>
          <w:bCs/>
        </w:rPr>
        <w:t xml:space="preserve">We </w:t>
      </w:r>
      <w:r w:rsidRPr="004003E0">
        <w:rPr>
          <w:bCs/>
        </w:rPr>
        <w:t xml:space="preserve">cannot accept photocopies or scanned documents (with the exception of the initial Option three check as described below). </w:t>
      </w:r>
    </w:p>
    <w:p w14:paraId="398E7569" w14:textId="77777777" w:rsidR="004003E0" w:rsidRDefault="004003E0" w:rsidP="004003E0">
      <w:pPr>
        <w:pStyle w:val="next"/>
        <w:spacing w:after="0"/>
        <w:rPr>
          <w:bCs/>
        </w:rPr>
      </w:pPr>
    </w:p>
    <w:p w14:paraId="660AB397" w14:textId="08838B95" w:rsidR="004003E0" w:rsidRDefault="004003E0" w:rsidP="004003E0">
      <w:pPr>
        <w:pStyle w:val="next"/>
        <w:spacing w:after="0"/>
        <w:rPr>
          <w:bCs/>
        </w:rPr>
      </w:pPr>
      <w:r w:rsidRPr="004003E0">
        <w:rPr>
          <w:bCs/>
        </w:rPr>
        <w:t>Documents printed from the internet, for example bank statements, are not acceptable for ID purposes. The applicant can ask their bank to print off a bank statement for them and endorse it with a stamp and signature if they do not have hard copy bank statements.</w:t>
      </w:r>
    </w:p>
    <w:p w14:paraId="2B2C6CB1" w14:textId="77777777" w:rsidR="004003E0" w:rsidRPr="004003E0" w:rsidRDefault="004003E0" w:rsidP="004003E0">
      <w:pPr>
        <w:pStyle w:val="next"/>
        <w:spacing w:after="0"/>
        <w:rPr>
          <w:bCs/>
        </w:rPr>
      </w:pPr>
    </w:p>
    <w:p w14:paraId="43989458" w14:textId="77777777" w:rsidR="004003E0" w:rsidRDefault="004003E0" w:rsidP="004003E0">
      <w:pPr>
        <w:rPr>
          <w:rFonts w:ascii="Arial Black" w:hAnsi="Arial Black"/>
          <w:b/>
          <w:bCs/>
          <w:color w:val="C00000"/>
        </w:rPr>
      </w:pPr>
      <w:r w:rsidRPr="004003E0">
        <w:rPr>
          <w:rFonts w:ascii="Arial Black" w:hAnsi="Arial Black"/>
          <w:b/>
          <w:bCs/>
          <w:color w:val="C00000"/>
        </w:rPr>
        <w:t>Option one</w:t>
      </w:r>
    </w:p>
    <w:p w14:paraId="327AAA0C" w14:textId="77777777" w:rsidR="004003E0" w:rsidRPr="004003E0" w:rsidRDefault="004003E0" w:rsidP="004003E0">
      <w:pPr>
        <w:rPr>
          <w:rFonts w:ascii="Arial Black" w:hAnsi="Arial Black"/>
          <w:b/>
          <w:bCs/>
          <w:color w:val="C00000"/>
        </w:rPr>
      </w:pPr>
    </w:p>
    <w:p w14:paraId="4F7FBF1F" w14:textId="77777777" w:rsidR="004003E0" w:rsidRDefault="004003E0" w:rsidP="004003E0">
      <w:pPr>
        <w:pStyle w:val="next"/>
        <w:spacing w:after="0"/>
        <w:rPr>
          <w:bCs/>
        </w:rPr>
      </w:pPr>
      <w:r w:rsidRPr="004003E0">
        <w:rPr>
          <w:bCs/>
        </w:rPr>
        <w:t xml:space="preserve">The ID check should be done in person, allowing the ID checker to view the physical documents, or </w:t>
      </w:r>
      <w:proofErr w:type="spellStart"/>
      <w:r w:rsidRPr="004003E0">
        <w:rPr>
          <w:bCs/>
        </w:rPr>
        <w:t>eVisa</w:t>
      </w:r>
      <w:proofErr w:type="spellEnd"/>
      <w:r w:rsidRPr="004003E0">
        <w:rPr>
          <w:bCs/>
        </w:rPr>
        <w:t>, or digital PASS card, in the presence of the individual.</w:t>
      </w:r>
    </w:p>
    <w:p w14:paraId="5BBC6D0A" w14:textId="77777777" w:rsidR="004003E0" w:rsidRPr="004003E0" w:rsidRDefault="004003E0" w:rsidP="004003E0">
      <w:pPr>
        <w:pStyle w:val="next"/>
        <w:spacing w:after="0"/>
        <w:rPr>
          <w:bCs/>
        </w:rPr>
      </w:pPr>
    </w:p>
    <w:p w14:paraId="72D3E937" w14:textId="77777777" w:rsidR="004003E0" w:rsidRDefault="004003E0" w:rsidP="004003E0">
      <w:pPr>
        <w:pStyle w:val="next"/>
        <w:spacing w:after="0"/>
        <w:rPr>
          <w:b/>
          <w:bCs/>
        </w:rPr>
      </w:pPr>
      <w:r w:rsidRPr="004003E0">
        <w:rPr>
          <w:b/>
          <w:bCs/>
        </w:rPr>
        <w:t>You must keep a record of the documents used to validate the identity for a minimum of 2 years</w:t>
      </w:r>
    </w:p>
    <w:p w14:paraId="204A2754" w14:textId="77777777" w:rsidR="004003E0" w:rsidRPr="004003E0" w:rsidRDefault="004003E0" w:rsidP="004003E0">
      <w:pPr>
        <w:pStyle w:val="next"/>
        <w:spacing w:after="0"/>
        <w:rPr>
          <w:bCs/>
        </w:rPr>
      </w:pPr>
    </w:p>
    <w:p w14:paraId="46A6E4D5" w14:textId="77777777" w:rsidR="004003E0" w:rsidRDefault="004003E0" w:rsidP="004003E0">
      <w:pPr>
        <w:rPr>
          <w:rFonts w:ascii="Arial Black" w:hAnsi="Arial Black"/>
          <w:b/>
          <w:bCs/>
          <w:color w:val="C00000"/>
        </w:rPr>
      </w:pPr>
      <w:r w:rsidRPr="004003E0">
        <w:rPr>
          <w:rFonts w:ascii="Arial Black" w:hAnsi="Arial Black"/>
          <w:b/>
          <w:bCs/>
          <w:color w:val="C00000"/>
        </w:rPr>
        <w:t>Option two</w:t>
      </w:r>
    </w:p>
    <w:p w14:paraId="09E41BE1" w14:textId="77777777" w:rsidR="004003E0" w:rsidRPr="004003E0" w:rsidRDefault="004003E0" w:rsidP="004003E0">
      <w:pPr>
        <w:rPr>
          <w:rFonts w:ascii="Arial Black" w:hAnsi="Arial Black"/>
          <w:b/>
          <w:bCs/>
          <w:color w:val="C00000"/>
        </w:rPr>
      </w:pPr>
    </w:p>
    <w:p w14:paraId="0BA590FB" w14:textId="77777777" w:rsidR="004003E0" w:rsidRDefault="004003E0" w:rsidP="004003E0">
      <w:pPr>
        <w:pStyle w:val="next"/>
        <w:spacing w:after="0"/>
        <w:rPr>
          <w:bCs/>
        </w:rPr>
      </w:pPr>
      <w:r w:rsidRPr="004003E0">
        <w:rPr>
          <w:bCs/>
        </w:rPr>
        <w:t>The ID checker can conduct the ID check via video link – for example Google Meet or FaceTime. In these circumstances the ID checker must be in possession of the physical documents. These can be posted to the ID checker in advance of the virtual call. Any risks identified when using live video must be assessed and mitigated by you. You must not rely on the inspection of the documents via a live video link, or by checking a faxed or scanned copy of the document.</w:t>
      </w:r>
    </w:p>
    <w:p w14:paraId="2F9444E3" w14:textId="77777777" w:rsidR="004003E0" w:rsidRPr="004003E0" w:rsidRDefault="004003E0" w:rsidP="004003E0">
      <w:pPr>
        <w:pStyle w:val="next"/>
        <w:spacing w:after="0"/>
        <w:rPr>
          <w:bCs/>
        </w:rPr>
      </w:pPr>
    </w:p>
    <w:p w14:paraId="69B7993D" w14:textId="77777777" w:rsidR="004003E0" w:rsidRDefault="004003E0" w:rsidP="004003E0">
      <w:pPr>
        <w:pStyle w:val="next"/>
        <w:spacing w:after="0"/>
        <w:rPr>
          <w:b/>
          <w:bCs/>
        </w:rPr>
      </w:pPr>
      <w:r w:rsidRPr="004003E0">
        <w:rPr>
          <w:b/>
          <w:bCs/>
        </w:rPr>
        <w:t>If option two is used, you must keep a record of why option one was not used, along with a record of the documents used to validate the identity, for a minimum of 2 years. The rationale must be specific to the individual ID verification, it is not acceptable to default to the use of options two or three.</w:t>
      </w:r>
    </w:p>
    <w:p w14:paraId="63F26B87" w14:textId="77777777" w:rsidR="004003E0" w:rsidRPr="004003E0" w:rsidRDefault="004003E0" w:rsidP="004003E0">
      <w:pPr>
        <w:pStyle w:val="next"/>
        <w:spacing w:after="0"/>
        <w:rPr>
          <w:bCs/>
        </w:rPr>
      </w:pPr>
    </w:p>
    <w:p w14:paraId="6D0F62D3" w14:textId="77777777" w:rsidR="004003E0" w:rsidRDefault="004003E0" w:rsidP="004003E0">
      <w:pPr>
        <w:rPr>
          <w:rFonts w:ascii="Arial Black" w:hAnsi="Arial Black"/>
          <w:b/>
          <w:bCs/>
          <w:color w:val="C00000"/>
        </w:rPr>
      </w:pPr>
      <w:r w:rsidRPr="004003E0">
        <w:rPr>
          <w:rFonts w:ascii="Arial Black" w:hAnsi="Arial Black"/>
          <w:b/>
          <w:bCs/>
          <w:color w:val="C00000"/>
        </w:rPr>
        <w:t>Option three</w:t>
      </w:r>
    </w:p>
    <w:p w14:paraId="66E37B1A" w14:textId="77777777" w:rsidR="00540DFE" w:rsidRPr="004003E0" w:rsidRDefault="00540DFE" w:rsidP="004003E0">
      <w:pPr>
        <w:rPr>
          <w:rFonts w:ascii="Arial Black" w:hAnsi="Arial Black"/>
          <w:b/>
          <w:bCs/>
          <w:color w:val="C00000"/>
        </w:rPr>
      </w:pPr>
    </w:p>
    <w:p w14:paraId="024F2E38" w14:textId="77777777" w:rsidR="004003E0" w:rsidRDefault="004003E0" w:rsidP="004003E0">
      <w:pPr>
        <w:pStyle w:val="next"/>
        <w:spacing w:after="0"/>
        <w:rPr>
          <w:bCs/>
        </w:rPr>
      </w:pPr>
      <w:r w:rsidRPr="004003E0">
        <w:rPr>
          <w:bCs/>
        </w:rPr>
        <w:t xml:space="preserve">The ID check can be completed via video link – for example Google Meet or FaceTime – without the ID checker being in physical possession of the ID documents. Documents can either be held up to the camera during the video link or sent as a scanned image/photograph via email. The details of the documents, as set out above, must be recorded and stored at the time </w:t>
      </w:r>
      <w:r w:rsidRPr="004003E0">
        <w:rPr>
          <w:bCs/>
        </w:rPr>
        <w:lastRenderedPageBreak/>
        <w:t>of the video link ID check. The documents must subsequently be presented to the ID checker prior to employment starting. In exceptional circumstances this may be on the first day of employment.  </w:t>
      </w:r>
    </w:p>
    <w:p w14:paraId="7BD0819A" w14:textId="77777777" w:rsidR="004003E0" w:rsidRPr="004003E0" w:rsidRDefault="004003E0" w:rsidP="004003E0">
      <w:pPr>
        <w:pStyle w:val="next"/>
        <w:spacing w:after="0"/>
        <w:rPr>
          <w:bCs/>
        </w:rPr>
      </w:pPr>
    </w:p>
    <w:p w14:paraId="32ACCDAC" w14:textId="77777777" w:rsidR="004003E0" w:rsidRDefault="004003E0" w:rsidP="004003E0">
      <w:pPr>
        <w:pStyle w:val="next"/>
        <w:spacing w:after="0"/>
        <w:rPr>
          <w:bCs/>
        </w:rPr>
      </w:pPr>
      <w:r w:rsidRPr="004003E0">
        <w:rPr>
          <w:bCs/>
        </w:rPr>
        <w:t>A fully compliant combination of documents must be presented to the ID checker – presentation of only one physical document is not acceptable. The ID checker must record the date the ID check was completed in person and cross reference the details recorded from the video link ID check. If there are any discrepancies the DBS check may be invalid. The applicant should not be allowed to commence employment until a full and satisfactory set of documents is examined.</w:t>
      </w:r>
    </w:p>
    <w:p w14:paraId="6F8F3F48" w14:textId="77777777" w:rsidR="00540DFE" w:rsidRPr="004003E0" w:rsidRDefault="00540DFE" w:rsidP="004003E0">
      <w:pPr>
        <w:pStyle w:val="next"/>
        <w:spacing w:after="0"/>
        <w:rPr>
          <w:bCs/>
        </w:rPr>
      </w:pPr>
    </w:p>
    <w:p w14:paraId="2A5B0339" w14:textId="77777777" w:rsidR="004003E0" w:rsidRPr="004003E0" w:rsidRDefault="004003E0" w:rsidP="004003E0">
      <w:pPr>
        <w:pStyle w:val="next"/>
        <w:spacing w:after="0"/>
        <w:rPr>
          <w:bCs/>
        </w:rPr>
      </w:pPr>
      <w:r w:rsidRPr="004003E0">
        <w:rPr>
          <w:b/>
          <w:bCs/>
        </w:rPr>
        <w:t>If option three is used you must keep a record of why options one and option two were not used, along with a record of the documents used to validate the identity, for a minimum of 2 years. The rationale must be specific to the individual ID verification, it is not acceptable to default to the use of options two or three as part of your process.</w:t>
      </w:r>
    </w:p>
    <w:p w14:paraId="168CDCEF" w14:textId="77777777" w:rsidR="004003E0" w:rsidRDefault="004003E0" w:rsidP="004003E0">
      <w:pPr>
        <w:pStyle w:val="next"/>
        <w:spacing w:after="0"/>
        <w:rPr>
          <w:b/>
          <w:bCs/>
        </w:rPr>
      </w:pPr>
    </w:p>
    <w:p w14:paraId="4A7853F0" w14:textId="362DCFE2" w:rsidR="004003E0" w:rsidRPr="00540DFE" w:rsidRDefault="004003E0" w:rsidP="00540DFE">
      <w:pPr>
        <w:rPr>
          <w:rFonts w:ascii="Arial Black" w:hAnsi="Arial Black"/>
          <w:b/>
          <w:bCs/>
          <w:color w:val="C00000"/>
        </w:rPr>
      </w:pPr>
      <w:r w:rsidRPr="004003E0">
        <w:rPr>
          <w:rFonts w:ascii="Arial Black" w:hAnsi="Arial Black"/>
          <w:b/>
          <w:bCs/>
          <w:color w:val="C00000"/>
        </w:rPr>
        <w:t>What if there are discrepancies?</w:t>
      </w:r>
    </w:p>
    <w:p w14:paraId="50BCE1F3" w14:textId="77777777" w:rsidR="00540DFE" w:rsidRPr="004003E0" w:rsidRDefault="00540DFE" w:rsidP="004003E0">
      <w:pPr>
        <w:pStyle w:val="next"/>
        <w:spacing w:after="0"/>
        <w:rPr>
          <w:b/>
          <w:bCs/>
        </w:rPr>
      </w:pPr>
    </w:p>
    <w:p w14:paraId="5309C273" w14:textId="4CDA16F3" w:rsidR="004003E0" w:rsidRDefault="004003E0" w:rsidP="004003E0">
      <w:pPr>
        <w:pStyle w:val="next"/>
        <w:spacing w:after="0"/>
        <w:rPr>
          <w:bCs/>
        </w:rPr>
      </w:pPr>
      <w:r w:rsidRPr="004003E0">
        <w:rPr>
          <w:bCs/>
        </w:rPr>
        <w:t xml:space="preserve">If there are any discrepancies in the information provided by the applicant and/or the identity documents supplied, </w:t>
      </w:r>
      <w:r w:rsidR="00540DFE">
        <w:rPr>
          <w:bCs/>
        </w:rPr>
        <w:t xml:space="preserve">contact Resourcing and Talent for further advice. </w:t>
      </w:r>
    </w:p>
    <w:p w14:paraId="0F576CC6" w14:textId="77777777" w:rsidR="00540DFE" w:rsidRPr="00540DFE" w:rsidRDefault="00540DFE" w:rsidP="004003E0">
      <w:pPr>
        <w:pStyle w:val="next"/>
        <w:spacing w:after="0"/>
        <w:rPr>
          <w:bCs/>
        </w:rPr>
      </w:pPr>
    </w:p>
    <w:p w14:paraId="2B29638F" w14:textId="665E8463" w:rsidR="004003E0" w:rsidRDefault="004003E0" w:rsidP="00540DFE">
      <w:pPr>
        <w:rPr>
          <w:rFonts w:ascii="Arial Black" w:hAnsi="Arial Black"/>
          <w:b/>
          <w:bCs/>
          <w:color w:val="C00000"/>
        </w:rPr>
      </w:pPr>
      <w:r w:rsidRPr="004003E0">
        <w:rPr>
          <w:rFonts w:ascii="Arial Black" w:hAnsi="Arial Black"/>
          <w:b/>
          <w:bCs/>
          <w:color w:val="C00000"/>
        </w:rPr>
        <w:t>Transgender Applicants</w:t>
      </w:r>
    </w:p>
    <w:p w14:paraId="09675EBB" w14:textId="77777777" w:rsidR="00540DFE" w:rsidRPr="004003E0" w:rsidRDefault="00540DFE" w:rsidP="00540DFE">
      <w:pPr>
        <w:rPr>
          <w:rFonts w:ascii="Arial Black" w:hAnsi="Arial Black"/>
          <w:b/>
          <w:bCs/>
          <w:color w:val="C00000"/>
        </w:rPr>
      </w:pPr>
    </w:p>
    <w:p w14:paraId="6DDD4202" w14:textId="77777777" w:rsidR="004003E0" w:rsidRPr="004003E0" w:rsidRDefault="004003E0" w:rsidP="004003E0">
      <w:pPr>
        <w:pStyle w:val="next"/>
        <w:spacing w:after="0"/>
        <w:rPr>
          <w:bCs/>
        </w:rPr>
      </w:pPr>
      <w:r w:rsidRPr="004003E0">
        <w:rPr>
          <w:bCs/>
        </w:rPr>
        <w:t>All applicants should be made aware of the </w:t>
      </w:r>
      <w:hyperlink r:id="rId25" w:history="1">
        <w:r w:rsidRPr="004003E0">
          <w:rPr>
            <w:rStyle w:val="Hyperlink"/>
            <w:bCs/>
          </w:rPr>
          <w:t>transgender application route</w:t>
        </w:r>
      </w:hyperlink>
      <w:r w:rsidRPr="004003E0">
        <w:rPr>
          <w:bCs/>
        </w:rPr>
        <w:t>. The transgender application route applicants to declare previous names and sexes without including them on the application form.</w:t>
      </w:r>
    </w:p>
    <w:p w14:paraId="054C978C" w14:textId="77777777" w:rsidR="004003E0" w:rsidRDefault="004003E0" w:rsidP="004003E0">
      <w:pPr>
        <w:pStyle w:val="next"/>
        <w:spacing w:after="0"/>
        <w:rPr>
          <w:b/>
          <w:bCs/>
        </w:rPr>
      </w:pPr>
    </w:p>
    <w:p w14:paraId="1ADF9E23" w14:textId="35046968" w:rsidR="004003E0" w:rsidRDefault="004003E0" w:rsidP="00540DFE">
      <w:pPr>
        <w:rPr>
          <w:rFonts w:ascii="Arial Black" w:hAnsi="Arial Black"/>
          <w:b/>
          <w:bCs/>
          <w:color w:val="C00000"/>
        </w:rPr>
      </w:pPr>
      <w:r w:rsidRPr="004003E0">
        <w:rPr>
          <w:rFonts w:ascii="Arial Black" w:hAnsi="Arial Black"/>
          <w:b/>
          <w:bCs/>
          <w:color w:val="C00000"/>
        </w:rPr>
        <w:t>Applicants who have been adopted</w:t>
      </w:r>
    </w:p>
    <w:p w14:paraId="7307B82D" w14:textId="77777777" w:rsidR="00540DFE" w:rsidRPr="004003E0" w:rsidRDefault="00540DFE" w:rsidP="00540DFE">
      <w:pPr>
        <w:rPr>
          <w:rFonts w:ascii="Arial Black" w:hAnsi="Arial Black"/>
          <w:b/>
          <w:bCs/>
          <w:color w:val="C00000"/>
        </w:rPr>
      </w:pPr>
    </w:p>
    <w:p w14:paraId="0FC26E5F" w14:textId="77777777" w:rsidR="004003E0" w:rsidRDefault="004003E0" w:rsidP="004003E0">
      <w:pPr>
        <w:pStyle w:val="next"/>
        <w:spacing w:after="0"/>
        <w:rPr>
          <w:bCs/>
        </w:rPr>
      </w:pPr>
      <w:r w:rsidRPr="004003E0">
        <w:rPr>
          <w:bCs/>
        </w:rPr>
        <w:t>If the applicant was adopted before the age of 10, they do not need to provide their surname at birth in section A of the DBS application form, they should give their adoptive name in this section. </w:t>
      </w:r>
    </w:p>
    <w:p w14:paraId="2A3E7E6C" w14:textId="77777777" w:rsidR="00540DFE" w:rsidRPr="004003E0" w:rsidRDefault="00540DFE" w:rsidP="004003E0">
      <w:pPr>
        <w:pStyle w:val="next"/>
        <w:spacing w:after="0"/>
        <w:rPr>
          <w:bCs/>
        </w:rPr>
      </w:pPr>
    </w:p>
    <w:p w14:paraId="3110FB32" w14:textId="77777777" w:rsidR="004003E0" w:rsidRDefault="004003E0" w:rsidP="004003E0">
      <w:pPr>
        <w:pStyle w:val="next"/>
        <w:spacing w:after="0"/>
        <w:rPr>
          <w:bCs/>
        </w:rPr>
      </w:pPr>
      <w:r w:rsidRPr="004003E0">
        <w:rPr>
          <w:bCs/>
        </w:rPr>
        <w:t>This is because the age of criminal responsibility is deemed to be 10 years, under the Children and Young Persons Act 1933, Chapter 12, Section 50. This means that there is no possibility that an individual could have a criminal record in a name that was used until the age of 10.</w:t>
      </w:r>
    </w:p>
    <w:p w14:paraId="11866CE7" w14:textId="77777777" w:rsidR="004003E0" w:rsidRPr="004003E0" w:rsidRDefault="004003E0" w:rsidP="004003E0">
      <w:pPr>
        <w:pStyle w:val="next"/>
        <w:spacing w:after="0"/>
        <w:rPr>
          <w:bCs/>
        </w:rPr>
      </w:pPr>
    </w:p>
    <w:p w14:paraId="3AE29002" w14:textId="77777777" w:rsidR="004003E0" w:rsidRDefault="004003E0" w:rsidP="004003E0">
      <w:pPr>
        <w:pStyle w:val="next"/>
        <w:spacing w:after="0"/>
        <w:rPr>
          <w:bCs/>
        </w:rPr>
      </w:pPr>
    </w:p>
    <w:p w14:paraId="53786212" w14:textId="77777777" w:rsidR="004003E0" w:rsidRDefault="004003E0" w:rsidP="004003E0">
      <w:pPr>
        <w:pStyle w:val="next"/>
        <w:spacing w:after="0"/>
        <w:rPr>
          <w:bCs/>
        </w:rPr>
      </w:pPr>
    </w:p>
    <w:p w14:paraId="470EE169" w14:textId="77777777" w:rsidR="004003E0" w:rsidRDefault="004003E0" w:rsidP="004003E0">
      <w:pPr>
        <w:pStyle w:val="next"/>
        <w:spacing w:after="0"/>
        <w:rPr>
          <w:bCs/>
        </w:rPr>
      </w:pPr>
    </w:p>
    <w:p w14:paraId="5719EF41" w14:textId="77777777" w:rsidR="004003E0" w:rsidRDefault="004003E0" w:rsidP="004003E0">
      <w:pPr>
        <w:pStyle w:val="next"/>
        <w:spacing w:after="0"/>
        <w:rPr>
          <w:bCs/>
        </w:rPr>
      </w:pPr>
    </w:p>
    <w:p w14:paraId="2852E161" w14:textId="77777777" w:rsidR="004003E0" w:rsidRDefault="004003E0" w:rsidP="004003E0">
      <w:pPr>
        <w:pStyle w:val="next"/>
        <w:spacing w:after="0"/>
        <w:rPr>
          <w:bCs/>
        </w:rPr>
      </w:pPr>
    </w:p>
    <w:p w14:paraId="3CFB6FE7" w14:textId="77777777" w:rsidR="004003E0" w:rsidRDefault="004003E0" w:rsidP="004003E0">
      <w:pPr>
        <w:pStyle w:val="next"/>
        <w:spacing w:after="0"/>
        <w:rPr>
          <w:bCs/>
        </w:rPr>
      </w:pPr>
    </w:p>
    <w:p w14:paraId="5B2CFD9D" w14:textId="77777777" w:rsidR="004003E0" w:rsidRDefault="004003E0" w:rsidP="004003E0">
      <w:pPr>
        <w:pStyle w:val="next"/>
        <w:spacing w:after="0"/>
        <w:rPr>
          <w:bCs/>
        </w:rPr>
      </w:pPr>
    </w:p>
    <w:p w14:paraId="6D2B6EC5" w14:textId="77777777" w:rsidR="004003E0" w:rsidRDefault="004003E0" w:rsidP="004003E0">
      <w:pPr>
        <w:pStyle w:val="next"/>
        <w:spacing w:after="0"/>
        <w:rPr>
          <w:bCs/>
        </w:rPr>
      </w:pPr>
    </w:p>
    <w:p w14:paraId="20376282" w14:textId="77777777" w:rsidR="004003E0" w:rsidRDefault="004003E0" w:rsidP="004003E0">
      <w:pPr>
        <w:pStyle w:val="next"/>
        <w:spacing w:after="0"/>
        <w:rPr>
          <w:bCs/>
        </w:rPr>
      </w:pPr>
    </w:p>
    <w:p w14:paraId="0CE3AC24" w14:textId="77777777" w:rsidR="004003E0" w:rsidRDefault="004003E0" w:rsidP="004003E0">
      <w:pPr>
        <w:pStyle w:val="next"/>
        <w:spacing w:after="0"/>
        <w:rPr>
          <w:bCs/>
        </w:rPr>
      </w:pPr>
    </w:p>
    <w:p w14:paraId="27061426" w14:textId="77777777" w:rsidR="004003E0" w:rsidRDefault="004003E0" w:rsidP="004003E0">
      <w:pPr>
        <w:pStyle w:val="next"/>
        <w:spacing w:after="0"/>
        <w:rPr>
          <w:bCs/>
        </w:rPr>
      </w:pPr>
    </w:p>
    <w:p w14:paraId="3E109E7C" w14:textId="77777777" w:rsidR="004003E0" w:rsidRDefault="004003E0" w:rsidP="004003E0">
      <w:pPr>
        <w:pStyle w:val="next"/>
        <w:spacing w:after="0"/>
        <w:rPr>
          <w:bCs/>
        </w:rPr>
      </w:pPr>
    </w:p>
    <w:p w14:paraId="00F08208" w14:textId="77777777" w:rsidR="004003E0" w:rsidRDefault="004003E0" w:rsidP="004003E0">
      <w:pPr>
        <w:pStyle w:val="next"/>
        <w:spacing w:after="0"/>
        <w:rPr>
          <w:bCs/>
        </w:rPr>
      </w:pPr>
    </w:p>
    <w:p w14:paraId="47789FAB" w14:textId="72BB9CF7" w:rsidR="004003E0" w:rsidRPr="004003E0" w:rsidRDefault="004003E0" w:rsidP="004003E0">
      <w:pPr>
        <w:pStyle w:val="Heading1"/>
        <w:rPr>
          <w:bCs w:val="0"/>
          <w:szCs w:val="24"/>
        </w:rPr>
      </w:pPr>
      <w:bookmarkStart w:id="28" w:name="_Toc210990754"/>
      <w:r w:rsidRPr="004003E0">
        <w:rPr>
          <w:bCs w:val="0"/>
          <w:szCs w:val="24"/>
        </w:rPr>
        <w:t>APPENDIX B – RIGHT TO WORK DOCUMENT LISTS</w:t>
      </w:r>
      <w:bookmarkEnd w:id="28"/>
      <w:r w:rsidRPr="004003E0">
        <w:rPr>
          <w:bCs w:val="0"/>
          <w:szCs w:val="24"/>
        </w:rPr>
        <w:t xml:space="preserve"> </w:t>
      </w:r>
    </w:p>
    <w:p w14:paraId="348BC033" w14:textId="77777777" w:rsidR="00540DFE" w:rsidRDefault="00540DFE" w:rsidP="004003E0">
      <w:pPr>
        <w:pStyle w:val="next"/>
        <w:spacing w:after="0"/>
        <w:rPr>
          <w:b/>
          <w:bCs/>
        </w:rPr>
      </w:pPr>
    </w:p>
    <w:p w14:paraId="11F44206" w14:textId="77777777" w:rsidR="00540DFE" w:rsidRPr="004003E0" w:rsidRDefault="00540DFE" w:rsidP="00540DFE">
      <w:pPr>
        <w:pStyle w:val="next"/>
        <w:spacing w:after="0"/>
        <w:rPr>
          <w:b/>
          <w:bCs/>
          <w:color w:val="C00000"/>
        </w:rPr>
      </w:pPr>
      <w:r w:rsidRPr="004003E0">
        <w:rPr>
          <w:b/>
          <w:bCs/>
          <w:color w:val="C00000"/>
        </w:rPr>
        <w:t>The 3 Route ID Checking Process</w:t>
      </w:r>
    </w:p>
    <w:p w14:paraId="4B601609" w14:textId="77777777" w:rsidR="00540DFE" w:rsidRDefault="00540DFE" w:rsidP="00540DFE">
      <w:pPr>
        <w:pStyle w:val="next"/>
        <w:spacing w:after="0"/>
        <w:rPr>
          <w:bCs/>
        </w:rPr>
      </w:pPr>
    </w:p>
    <w:p w14:paraId="62959860" w14:textId="3F9ED50C" w:rsidR="00540DFE" w:rsidRDefault="00540DFE" w:rsidP="00540DFE">
      <w:pPr>
        <w:pStyle w:val="next"/>
        <w:spacing w:after="0"/>
        <w:rPr>
          <w:bCs/>
        </w:rPr>
      </w:pPr>
      <w:r w:rsidRPr="004003E0">
        <w:rPr>
          <w:bCs/>
        </w:rPr>
        <w:t>You must use route 1 where possible. You can only move on to route 2 if the applicant is unable to present the documents needed in route 1.</w:t>
      </w:r>
    </w:p>
    <w:p w14:paraId="20037D8F" w14:textId="77777777" w:rsidR="00540DFE" w:rsidRPr="004003E0" w:rsidRDefault="00540DFE" w:rsidP="00540DFE">
      <w:pPr>
        <w:pStyle w:val="next"/>
        <w:spacing w:after="0"/>
        <w:rPr>
          <w:bCs/>
        </w:rPr>
      </w:pPr>
    </w:p>
    <w:p w14:paraId="40F492E4" w14:textId="77777777" w:rsidR="00540DFE" w:rsidRPr="004003E0" w:rsidRDefault="00540DFE" w:rsidP="00540DFE">
      <w:pPr>
        <w:pStyle w:val="next"/>
        <w:spacing w:after="0"/>
        <w:rPr>
          <w:b/>
          <w:bCs/>
        </w:rPr>
      </w:pPr>
      <w:r w:rsidRPr="004003E0">
        <w:rPr>
          <w:b/>
          <w:bCs/>
        </w:rPr>
        <w:t>Route 1</w:t>
      </w:r>
    </w:p>
    <w:p w14:paraId="01B41AA9" w14:textId="77777777" w:rsidR="00540DFE" w:rsidRPr="004003E0" w:rsidRDefault="00540DFE" w:rsidP="00540DFE">
      <w:pPr>
        <w:pStyle w:val="next"/>
        <w:spacing w:after="0"/>
        <w:rPr>
          <w:bCs/>
        </w:rPr>
      </w:pPr>
      <w:r w:rsidRPr="004003E0">
        <w:rPr>
          <w:bCs/>
        </w:rPr>
        <w:t>The applicant must be able to show:</w:t>
      </w:r>
    </w:p>
    <w:p w14:paraId="756F7319" w14:textId="77777777" w:rsidR="00540DFE" w:rsidRPr="004003E0" w:rsidRDefault="00540DFE" w:rsidP="00540DFE">
      <w:pPr>
        <w:pStyle w:val="next"/>
        <w:numPr>
          <w:ilvl w:val="0"/>
          <w:numId w:val="16"/>
        </w:numPr>
        <w:spacing w:after="0"/>
        <w:rPr>
          <w:bCs/>
        </w:rPr>
      </w:pPr>
      <w:r w:rsidRPr="004003E0">
        <w:rPr>
          <w:bCs/>
        </w:rPr>
        <w:t>one document from Group 1, below</w:t>
      </w:r>
    </w:p>
    <w:p w14:paraId="4F9F7EA5" w14:textId="77777777" w:rsidR="00540DFE" w:rsidRDefault="00540DFE" w:rsidP="00540DFE">
      <w:pPr>
        <w:pStyle w:val="next"/>
        <w:numPr>
          <w:ilvl w:val="0"/>
          <w:numId w:val="16"/>
        </w:numPr>
        <w:spacing w:after="0"/>
        <w:rPr>
          <w:bCs/>
        </w:rPr>
      </w:pPr>
      <w:r w:rsidRPr="004003E0">
        <w:rPr>
          <w:bCs/>
        </w:rPr>
        <w:t>two further documents from either Group 1, or Group 2a, or 2b, below</w:t>
      </w:r>
    </w:p>
    <w:p w14:paraId="120DC145" w14:textId="77777777" w:rsidR="00540DFE" w:rsidRPr="004003E0" w:rsidRDefault="00540DFE" w:rsidP="00540DFE">
      <w:pPr>
        <w:pStyle w:val="next"/>
        <w:spacing w:after="0"/>
        <w:ind w:left="720"/>
        <w:rPr>
          <w:bCs/>
        </w:rPr>
      </w:pPr>
    </w:p>
    <w:p w14:paraId="34CA5463" w14:textId="77777777" w:rsidR="00540DFE" w:rsidRDefault="00540DFE" w:rsidP="00540DFE">
      <w:pPr>
        <w:pStyle w:val="next"/>
        <w:spacing w:after="0"/>
        <w:rPr>
          <w:bCs/>
        </w:rPr>
      </w:pPr>
      <w:r w:rsidRPr="004003E0">
        <w:rPr>
          <w:bCs/>
        </w:rPr>
        <w:t>The combination of documents presented must confirm the applicant’s name and date of birth.</w:t>
      </w:r>
    </w:p>
    <w:p w14:paraId="511428A4" w14:textId="77777777" w:rsidR="00540DFE" w:rsidRPr="004003E0" w:rsidRDefault="00540DFE" w:rsidP="00540DFE">
      <w:pPr>
        <w:pStyle w:val="next"/>
        <w:spacing w:after="0"/>
        <w:rPr>
          <w:bCs/>
        </w:rPr>
      </w:pPr>
    </w:p>
    <w:p w14:paraId="34E64766" w14:textId="014DD2B3" w:rsidR="00540DFE" w:rsidRPr="004003E0" w:rsidRDefault="00540DFE" w:rsidP="00540DFE">
      <w:pPr>
        <w:pStyle w:val="next"/>
        <w:spacing w:after="0"/>
        <w:rPr>
          <w:b/>
          <w:bCs/>
        </w:rPr>
      </w:pPr>
      <w:r w:rsidRPr="004003E0">
        <w:rPr>
          <w:b/>
          <w:bCs/>
        </w:rPr>
        <w:t>Route 2</w:t>
      </w:r>
    </w:p>
    <w:p w14:paraId="66A6ADE8" w14:textId="77777777" w:rsidR="00540DFE" w:rsidRDefault="00540DFE" w:rsidP="00540DFE">
      <w:pPr>
        <w:pStyle w:val="next"/>
        <w:spacing w:after="0"/>
        <w:rPr>
          <w:bCs/>
        </w:rPr>
      </w:pPr>
      <w:r w:rsidRPr="004003E0">
        <w:rPr>
          <w:bCs/>
        </w:rPr>
        <w:t>Route 2 can only be used if it’s impossible to process the application through Route 1.</w:t>
      </w:r>
    </w:p>
    <w:p w14:paraId="7DA9405D" w14:textId="77777777" w:rsidR="00540DFE" w:rsidRPr="004003E0" w:rsidRDefault="00540DFE" w:rsidP="00540DFE">
      <w:pPr>
        <w:pStyle w:val="next"/>
        <w:spacing w:after="0"/>
        <w:rPr>
          <w:bCs/>
        </w:rPr>
      </w:pPr>
    </w:p>
    <w:p w14:paraId="236A806A" w14:textId="77777777" w:rsidR="00540DFE" w:rsidRDefault="00540DFE" w:rsidP="00540DFE">
      <w:pPr>
        <w:pStyle w:val="next"/>
        <w:spacing w:after="0"/>
        <w:rPr>
          <w:b/>
          <w:bCs/>
        </w:rPr>
      </w:pPr>
      <w:r w:rsidRPr="004003E0">
        <w:rPr>
          <w:b/>
          <w:bCs/>
        </w:rPr>
        <w:t>The organisation conducting the ID check must then also use an appropriate external ID verification service to check the application.</w:t>
      </w:r>
    </w:p>
    <w:p w14:paraId="4E7282F8" w14:textId="77777777" w:rsidR="00540DFE" w:rsidRPr="004003E0" w:rsidRDefault="00540DFE" w:rsidP="00540DFE">
      <w:pPr>
        <w:pStyle w:val="next"/>
        <w:spacing w:after="0"/>
        <w:rPr>
          <w:bCs/>
        </w:rPr>
      </w:pPr>
    </w:p>
    <w:p w14:paraId="47CD21E6" w14:textId="77777777" w:rsidR="00540DFE" w:rsidRPr="004003E0" w:rsidRDefault="00540DFE" w:rsidP="00540DFE">
      <w:pPr>
        <w:pStyle w:val="next"/>
        <w:spacing w:after="0"/>
        <w:rPr>
          <w:bCs/>
        </w:rPr>
      </w:pPr>
      <w:r w:rsidRPr="004003E0">
        <w:rPr>
          <w:bCs/>
        </w:rPr>
        <w:t>If the applicant doesn’t have any of the documents in Group 1, then they must be able to show:</w:t>
      </w:r>
    </w:p>
    <w:p w14:paraId="239A41A8" w14:textId="77777777" w:rsidR="00540DFE" w:rsidRPr="004003E0" w:rsidRDefault="00540DFE" w:rsidP="00540DFE">
      <w:pPr>
        <w:pStyle w:val="next"/>
        <w:numPr>
          <w:ilvl w:val="0"/>
          <w:numId w:val="17"/>
        </w:numPr>
        <w:spacing w:after="0"/>
        <w:rPr>
          <w:bCs/>
        </w:rPr>
      </w:pPr>
      <w:r w:rsidRPr="004003E0">
        <w:rPr>
          <w:bCs/>
        </w:rPr>
        <w:t>one document from Group 2a</w:t>
      </w:r>
    </w:p>
    <w:p w14:paraId="6FD5A059" w14:textId="77777777" w:rsidR="00540DFE" w:rsidRDefault="00540DFE" w:rsidP="00540DFE">
      <w:pPr>
        <w:pStyle w:val="next"/>
        <w:numPr>
          <w:ilvl w:val="0"/>
          <w:numId w:val="17"/>
        </w:numPr>
        <w:spacing w:after="0"/>
        <w:rPr>
          <w:bCs/>
        </w:rPr>
      </w:pPr>
      <w:r w:rsidRPr="004003E0">
        <w:rPr>
          <w:bCs/>
        </w:rPr>
        <w:t>two further documents from either Group 2a or 2b</w:t>
      </w:r>
    </w:p>
    <w:p w14:paraId="0AF19181" w14:textId="77777777" w:rsidR="00540DFE" w:rsidRPr="004003E0" w:rsidRDefault="00540DFE" w:rsidP="00540DFE">
      <w:pPr>
        <w:pStyle w:val="next"/>
        <w:spacing w:after="0"/>
        <w:ind w:left="720"/>
        <w:rPr>
          <w:bCs/>
        </w:rPr>
      </w:pPr>
    </w:p>
    <w:p w14:paraId="717559C2" w14:textId="77777777" w:rsidR="00540DFE" w:rsidRDefault="00540DFE" w:rsidP="00540DFE">
      <w:pPr>
        <w:pStyle w:val="next"/>
        <w:spacing w:after="0"/>
        <w:rPr>
          <w:bCs/>
        </w:rPr>
      </w:pPr>
      <w:r w:rsidRPr="004003E0">
        <w:rPr>
          <w:bCs/>
        </w:rPr>
        <w:t>The combination of documents presented must confirm the applicant’s name and date of birth.</w:t>
      </w:r>
    </w:p>
    <w:p w14:paraId="3E01692E" w14:textId="77777777" w:rsidR="00540DFE" w:rsidRPr="004003E0" w:rsidRDefault="00540DFE" w:rsidP="00540DFE">
      <w:pPr>
        <w:pStyle w:val="next"/>
        <w:spacing w:after="0"/>
        <w:rPr>
          <w:bCs/>
        </w:rPr>
      </w:pPr>
    </w:p>
    <w:p w14:paraId="57EC2206" w14:textId="18E22111" w:rsidR="00540DFE" w:rsidRPr="004003E0" w:rsidRDefault="00540DFE" w:rsidP="00540DFE">
      <w:pPr>
        <w:pStyle w:val="next"/>
        <w:spacing w:after="0"/>
        <w:rPr>
          <w:b/>
          <w:bCs/>
        </w:rPr>
      </w:pPr>
      <w:r w:rsidRPr="004003E0">
        <w:rPr>
          <w:b/>
          <w:bCs/>
        </w:rPr>
        <w:t>Route 3</w:t>
      </w:r>
    </w:p>
    <w:p w14:paraId="6CCF902C" w14:textId="77777777" w:rsidR="00540DFE" w:rsidRPr="004003E0" w:rsidRDefault="00540DFE" w:rsidP="00540DFE">
      <w:pPr>
        <w:pStyle w:val="next"/>
        <w:spacing w:after="0"/>
        <w:rPr>
          <w:bCs/>
        </w:rPr>
      </w:pPr>
      <w:r w:rsidRPr="004003E0">
        <w:rPr>
          <w:bCs/>
        </w:rPr>
        <w:t>Route 3 can only be used if it’s impossible to process the application through Routes 1 or 2.</w:t>
      </w:r>
    </w:p>
    <w:p w14:paraId="71DADFF1" w14:textId="77777777" w:rsidR="00540DFE" w:rsidRPr="004003E0" w:rsidRDefault="00540DFE" w:rsidP="00540DFE">
      <w:pPr>
        <w:pStyle w:val="next"/>
        <w:spacing w:after="0"/>
        <w:rPr>
          <w:bCs/>
        </w:rPr>
      </w:pPr>
      <w:r w:rsidRPr="004003E0">
        <w:rPr>
          <w:bCs/>
        </w:rPr>
        <w:t>For Route 3, the applicant must be able to show:</w:t>
      </w:r>
    </w:p>
    <w:p w14:paraId="74CE1968" w14:textId="77777777" w:rsidR="00540DFE" w:rsidRPr="004003E0" w:rsidRDefault="00540DFE" w:rsidP="00540DFE">
      <w:pPr>
        <w:pStyle w:val="next"/>
        <w:numPr>
          <w:ilvl w:val="0"/>
          <w:numId w:val="18"/>
        </w:numPr>
        <w:spacing w:after="0"/>
        <w:rPr>
          <w:bCs/>
        </w:rPr>
      </w:pPr>
      <w:r w:rsidRPr="004003E0">
        <w:rPr>
          <w:bCs/>
        </w:rPr>
        <w:t>a birth certificate issued more than 12 months after the time of birth (UK, Isle of Man and Channel Islands) </w:t>
      </w:r>
    </w:p>
    <w:p w14:paraId="21B1AA89" w14:textId="77777777" w:rsidR="00540DFE" w:rsidRPr="004003E0" w:rsidRDefault="00540DFE" w:rsidP="00540DFE">
      <w:pPr>
        <w:pStyle w:val="next"/>
        <w:numPr>
          <w:ilvl w:val="0"/>
          <w:numId w:val="18"/>
        </w:numPr>
        <w:spacing w:after="0"/>
        <w:rPr>
          <w:bCs/>
        </w:rPr>
      </w:pPr>
      <w:r w:rsidRPr="004003E0">
        <w:rPr>
          <w:bCs/>
        </w:rPr>
        <w:t>one document from Group 2a </w:t>
      </w:r>
    </w:p>
    <w:p w14:paraId="37E81812" w14:textId="77777777" w:rsidR="00540DFE" w:rsidRDefault="00540DFE" w:rsidP="00540DFE">
      <w:pPr>
        <w:pStyle w:val="next"/>
        <w:numPr>
          <w:ilvl w:val="0"/>
          <w:numId w:val="18"/>
        </w:numPr>
        <w:spacing w:after="0"/>
        <w:rPr>
          <w:bCs/>
        </w:rPr>
      </w:pPr>
      <w:r w:rsidRPr="004003E0">
        <w:rPr>
          <w:bCs/>
        </w:rPr>
        <w:t>three further documents from Group 2a or 2b</w:t>
      </w:r>
    </w:p>
    <w:p w14:paraId="4D268D85" w14:textId="77777777" w:rsidR="00540DFE" w:rsidRPr="004003E0" w:rsidRDefault="00540DFE" w:rsidP="00540DFE">
      <w:pPr>
        <w:pStyle w:val="next"/>
        <w:spacing w:after="0"/>
        <w:ind w:left="720"/>
        <w:rPr>
          <w:bCs/>
        </w:rPr>
      </w:pPr>
    </w:p>
    <w:p w14:paraId="5DF03D42" w14:textId="77777777" w:rsidR="00540DFE" w:rsidRPr="004003E0" w:rsidRDefault="00540DFE" w:rsidP="00540DFE">
      <w:pPr>
        <w:pStyle w:val="next"/>
        <w:spacing w:after="0"/>
        <w:rPr>
          <w:bCs/>
        </w:rPr>
      </w:pPr>
      <w:r w:rsidRPr="004003E0">
        <w:rPr>
          <w:bCs/>
        </w:rPr>
        <w:t>The combination of documents presented must confirm the applicant’s name and date of birth.</w:t>
      </w:r>
    </w:p>
    <w:p w14:paraId="646AFB32" w14:textId="77777777" w:rsidR="00540DFE" w:rsidRDefault="00540DFE" w:rsidP="00540DFE">
      <w:pPr>
        <w:pStyle w:val="next"/>
        <w:spacing w:after="0"/>
        <w:rPr>
          <w:bCs/>
        </w:rPr>
      </w:pPr>
      <w:r w:rsidRPr="004003E0">
        <w:rPr>
          <w:bCs/>
        </w:rPr>
        <w:t>If the applicant can’t provide these documents, they may need to be fingerprinted.</w:t>
      </w:r>
    </w:p>
    <w:p w14:paraId="2B024A97" w14:textId="77777777" w:rsidR="00540DFE" w:rsidRDefault="00540DFE" w:rsidP="004003E0">
      <w:pPr>
        <w:pStyle w:val="next"/>
        <w:spacing w:after="0"/>
        <w:rPr>
          <w:b/>
          <w:bCs/>
        </w:rPr>
      </w:pPr>
    </w:p>
    <w:p w14:paraId="416584A2" w14:textId="7059403D" w:rsidR="004003E0" w:rsidRPr="00540DFE" w:rsidRDefault="004003E0" w:rsidP="004003E0">
      <w:pPr>
        <w:pStyle w:val="next"/>
        <w:spacing w:after="0"/>
        <w:rPr>
          <w:rFonts w:ascii="Arial Black" w:hAnsi="Arial Black"/>
          <w:b/>
          <w:bCs/>
          <w:color w:val="C00000"/>
        </w:rPr>
      </w:pPr>
      <w:r w:rsidRPr="004003E0">
        <w:rPr>
          <w:rFonts w:ascii="Arial Black" w:hAnsi="Arial Black"/>
          <w:b/>
          <w:bCs/>
          <w:color w:val="C00000"/>
        </w:rPr>
        <w:t>Document lists</w:t>
      </w:r>
    </w:p>
    <w:p w14:paraId="5B3B6307" w14:textId="77777777" w:rsidR="004003E0" w:rsidRPr="004003E0" w:rsidRDefault="004003E0" w:rsidP="004003E0">
      <w:pPr>
        <w:pStyle w:val="next"/>
        <w:spacing w:after="0"/>
        <w:rPr>
          <w:b/>
          <w:bCs/>
        </w:rPr>
      </w:pPr>
    </w:p>
    <w:p w14:paraId="6E9E161D" w14:textId="77777777" w:rsidR="004003E0" w:rsidRDefault="004003E0" w:rsidP="004003E0">
      <w:pPr>
        <w:pStyle w:val="next"/>
        <w:spacing w:after="0"/>
        <w:rPr>
          <w:bCs/>
        </w:rPr>
      </w:pPr>
      <w:r w:rsidRPr="004003E0">
        <w:rPr>
          <w:bCs/>
        </w:rPr>
        <w:t>You should not accept the foreign equivalent of an identity document if that document is listed as ‘(UK)’ on the list of valid identity documents.</w:t>
      </w:r>
    </w:p>
    <w:p w14:paraId="565446A7" w14:textId="77777777" w:rsidR="004003E0" w:rsidRPr="004003E0" w:rsidRDefault="004003E0" w:rsidP="004003E0">
      <w:pPr>
        <w:pStyle w:val="next"/>
        <w:spacing w:after="0"/>
        <w:rPr>
          <w:bCs/>
        </w:rPr>
      </w:pPr>
    </w:p>
    <w:p w14:paraId="41C33984" w14:textId="77777777" w:rsidR="004003E0" w:rsidRPr="004003E0" w:rsidRDefault="004003E0" w:rsidP="004003E0">
      <w:pPr>
        <w:pStyle w:val="next"/>
        <w:spacing w:after="0"/>
        <w:rPr>
          <w:b/>
          <w:bCs/>
          <w:color w:val="C00000"/>
        </w:rPr>
      </w:pPr>
      <w:r w:rsidRPr="004003E0">
        <w:rPr>
          <w:b/>
          <w:bCs/>
          <w:color w:val="C00000"/>
        </w:rPr>
        <w:t>Group 1: Primary identity documents</w:t>
      </w:r>
    </w:p>
    <w:p w14:paraId="50DEE431" w14:textId="77777777" w:rsidR="004003E0" w:rsidRPr="004003E0" w:rsidRDefault="004003E0" w:rsidP="004003E0">
      <w:pPr>
        <w:pStyle w:val="next"/>
        <w:spacing w:after="0"/>
        <w:rPr>
          <w:b/>
          <w:bCs/>
        </w:rPr>
      </w:pPr>
    </w:p>
    <w:tbl>
      <w:tblPr>
        <w:tblW w:w="10688" w:type="dxa"/>
        <w:shd w:val="clear" w:color="auto" w:fill="FFFFFF"/>
        <w:tblCellMar>
          <w:top w:w="15" w:type="dxa"/>
          <w:left w:w="15" w:type="dxa"/>
          <w:bottom w:w="15" w:type="dxa"/>
          <w:right w:w="15" w:type="dxa"/>
        </w:tblCellMar>
        <w:tblLook w:val="04A0" w:firstRow="1" w:lastRow="0" w:firstColumn="1" w:lastColumn="0" w:noHBand="0" w:noVBand="1"/>
      </w:tblPr>
      <w:tblGrid>
        <w:gridCol w:w="2558"/>
        <w:gridCol w:w="8130"/>
      </w:tblGrid>
      <w:tr w:rsidR="004003E0" w:rsidRPr="004003E0" w14:paraId="7C8CD01A" w14:textId="77777777" w:rsidTr="004003E0">
        <w:trPr>
          <w:tblHeader/>
        </w:trPr>
        <w:tc>
          <w:tcPr>
            <w:tcW w:w="0" w:type="auto"/>
            <w:tcBorders>
              <w:bottom w:val="single" w:sz="6" w:space="0" w:color="B1B4B6"/>
            </w:tcBorders>
            <w:shd w:val="clear" w:color="auto" w:fill="FFFFFF"/>
            <w:tcMar>
              <w:top w:w="150" w:type="dxa"/>
              <w:left w:w="0" w:type="dxa"/>
              <w:bottom w:w="150" w:type="dxa"/>
              <w:right w:w="300" w:type="dxa"/>
            </w:tcMar>
            <w:hideMark/>
          </w:tcPr>
          <w:p w14:paraId="798254D7" w14:textId="77777777" w:rsidR="004003E0" w:rsidRPr="004003E0" w:rsidRDefault="004003E0" w:rsidP="004003E0">
            <w:pPr>
              <w:pStyle w:val="next"/>
              <w:spacing w:after="0"/>
              <w:rPr>
                <w:b/>
                <w:bCs/>
              </w:rPr>
            </w:pPr>
            <w:r w:rsidRPr="004003E0">
              <w:rPr>
                <w:b/>
                <w:bCs/>
              </w:rPr>
              <w:lastRenderedPageBreak/>
              <w:t>Document</w:t>
            </w:r>
          </w:p>
        </w:tc>
        <w:tc>
          <w:tcPr>
            <w:tcW w:w="0" w:type="auto"/>
            <w:tcBorders>
              <w:bottom w:val="single" w:sz="6" w:space="0" w:color="B1B4B6"/>
            </w:tcBorders>
            <w:shd w:val="clear" w:color="auto" w:fill="FFFFFF"/>
            <w:tcMar>
              <w:top w:w="150" w:type="dxa"/>
              <w:left w:w="0" w:type="dxa"/>
              <w:bottom w:w="150" w:type="dxa"/>
              <w:right w:w="0" w:type="dxa"/>
            </w:tcMar>
            <w:hideMark/>
          </w:tcPr>
          <w:p w14:paraId="17FDBEC8" w14:textId="77777777" w:rsidR="004003E0" w:rsidRPr="004003E0" w:rsidRDefault="004003E0" w:rsidP="004003E0">
            <w:pPr>
              <w:pStyle w:val="next"/>
              <w:spacing w:after="0"/>
              <w:rPr>
                <w:b/>
                <w:bCs/>
              </w:rPr>
            </w:pPr>
            <w:r w:rsidRPr="004003E0">
              <w:rPr>
                <w:b/>
                <w:bCs/>
              </w:rPr>
              <w:t>Notes</w:t>
            </w:r>
          </w:p>
        </w:tc>
      </w:tr>
      <w:tr w:rsidR="004003E0" w:rsidRPr="004003E0" w14:paraId="4160571D"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4118604B" w14:textId="77777777" w:rsidR="004003E0" w:rsidRPr="004003E0" w:rsidRDefault="004003E0" w:rsidP="004003E0">
            <w:pPr>
              <w:pStyle w:val="next"/>
              <w:spacing w:after="0"/>
              <w:rPr>
                <w:bCs/>
              </w:rPr>
            </w:pPr>
            <w:r w:rsidRPr="004003E0">
              <w:rPr>
                <w:bCs/>
              </w:rPr>
              <w:t>Passport</w:t>
            </w:r>
          </w:p>
        </w:tc>
        <w:tc>
          <w:tcPr>
            <w:tcW w:w="0" w:type="auto"/>
            <w:tcBorders>
              <w:bottom w:val="single" w:sz="6" w:space="0" w:color="B1B4B6"/>
            </w:tcBorders>
            <w:shd w:val="clear" w:color="auto" w:fill="FFFFFF"/>
            <w:tcMar>
              <w:top w:w="150" w:type="dxa"/>
              <w:left w:w="0" w:type="dxa"/>
              <w:bottom w:w="150" w:type="dxa"/>
              <w:right w:w="0" w:type="dxa"/>
            </w:tcMar>
            <w:hideMark/>
          </w:tcPr>
          <w:p w14:paraId="5F32F7FC" w14:textId="77777777" w:rsidR="004003E0" w:rsidRPr="004003E0" w:rsidRDefault="004003E0" w:rsidP="004003E0">
            <w:pPr>
              <w:pStyle w:val="next"/>
              <w:spacing w:after="0"/>
              <w:rPr>
                <w:bCs/>
              </w:rPr>
            </w:pPr>
            <w:r w:rsidRPr="004003E0">
              <w:rPr>
                <w:bCs/>
              </w:rPr>
              <w:t>Any current and valid passport. A UK passport can be expired up to a maximum of 6 months.</w:t>
            </w:r>
          </w:p>
        </w:tc>
      </w:tr>
      <w:tr w:rsidR="004003E0" w:rsidRPr="004003E0" w14:paraId="27A3FA17"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27FAC1D6" w14:textId="77777777" w:rsidR="004003E0" w:rsidRPr="004003E0" w:rsidRDefault="004003E0" w:rsidP="004003E0">
            <w:pPr>
              <w:pStyle w:val="next"/>
              <w:spacing w:after="0"/>
              <w:rPr>
                <w:bCs/>
              </w:rPr>
            </w:pPr>
            <w:r w:rsidRPr="004003E0">
              <w:rPr>
                <w:bCs/>
              </w:rPr>
              <w:t>e-Visa</w:t>
            </w:r>
          </w:p>
        </w:tc>
        <w:tc>
          <w:tcPr>
            <w:tcW w:w="0" w:type="auto"/>
            <w:tcBorders>
              <w:bottom w:val="single" w:sz="6" w:space="0" w:color="B1B4B6"/>
            </w:tcBorders>
            <w:shd w:val="clear" w:color="auto" w:fill="FFFFFF"/>
            <w:tcMar>
              <w:top w:w="150" w:type="dxa"/>
              <w:left w:w="0" w:type="dxa"/>
              <w:bottom w:w="150" w:type="dxa"/>
              <w:right w:w="0" w:type="dxa"/>
            </w:tcMar>
            <w:hideMark/>
          </w:tcPr>
          <w:p w14:paraId="59EB0176" w14:textId="77777777" w:rsidR="004003E0" w:rsidRPr="004003E0" w:rsidRDefault="004003E0" w:rsidP="004003E0">
            <w:pPr>
              <w:pStyle w:val="next"/>
              <w:spacing w:after="0"/>
              <w:rPr>
                <w:bCs/>
              </w:rPr>
            </w:pPr>
            <w:r w:rsidRPr="004003E0">
              <w:rPr>
                <w:bCs/>
              </w:rPr>
              <w:t xml:space="preserve">Accessed via the ‘View and Prove’ service. The share code requested by the applicant should be an ‘immigration status’ share code. If you do not have a UKVI account to access your </w:t>
            </w:r>
            <w:proofErr w:type="spellStart"/>
            <w:r w:rsidRPr="004003E0">
              <w:rPr>
                <w:bCs/>
              </w:rPr>
              <w:t>eVisa</w:t>
            </w:r>
            <w:proofErr w:type="spellEnd"/>
            <w:r w:rsidRPr="004003E0">
              <w:rPr>
                <w:bCs/>
              </w:rPr>
              <w:t xml:space="preserve"> you can create you can create one online (</w:t>
            </w:r>
            <w:hyperlink r:id="rId26" w:history="1">
              <w:r w:rsidRPr="004003E0">
                <w:rPr>
                  <w:rStyle w:val="Hyperlink"/>
                  <w:bCs/>
                </w:rPr>
                <w:t>Get access to your online immigration status (</w:t>
              </w:r>
              <w:proofErr w:type="spellStart"/>
              <w:r w:rsidRPr="004003E0">
                <w:rPr>
                  <w:rStyle w:val="Hyperlink"/>
                  <w:bCs/>
                </w:rPr>
                <w:t>eVisa</w:t>
              </w:r>
              <w:proofErr w:type="spellEnd"/>
              <w:r w:rsidRPr="004003E0">
                <w:rPr>
                  <w:rStyle w:val="Hyperlink"/>
                  <w:bCs/>
                </w:rPr>
                <w:t>) - GOV.UK</w:t>
              </w:r>
            </w:hyperlink>
            <w:r w:rsidRPr="004003E0">
              <w:rPr>
                <w:bCs/>
              </w:rPr>
              <w:t>)</w:t>
            </w:r>
          </w:p>
        </w:tc>
      </w:tr>
      <w:tr w:rsidR="004003E0" w:rsidRPr="004003E0" w14:paraId="791A5749"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58BDFF3F" w14:textId="77777777" w:rsidR="004003E0" w:rsidRPr="004003E0" w:rsidRDefault="004003E0" w:rsidP="004003E0">
            <w:pPr>
              <w:pStyle w:val="next"/>
              <w:spacing w:after="0"/>
              <w:rPr>
                <w:bCs/>
              </w:rPr>
            </w:pPr>
            <w:r w:rsidRPr="004003E0">
              <w:rPr>
                <w:bCs/>
              </w:rPr>
              <w:t>Biometric residence permit (BRP)</w:t>
            </w:r>
          </w:p>
        </w:tc>
        <w:tc>
          <w:tcPr>
            <w:tcW w:w="0" w:type="auto"/>
            <w:tcBorders>
              <w:bottom w:val="single" w:sz="6" w:space="0" w:color="B1B4B6"/>
            </w:tcBorders>
            <w:shd w:val="clear" w:color="auto" w:fill="FFFFFF"/>
            <w:tcMar>
              <w:top w:w="150" w:type="dxa"/>
              <w:left w:w="0" w:type="dxa"/>
              <w:bottom w:w="150" w:type="dxa"/>
              <w:right w:w="0" w:type="dxa"/>
            </w:tcMar>
            <w:hideMark/>
          </w:tcPr>
          <w:p w14:paraId="0BF60B40" w14:textId="77777777" w:rsidR="004003E0" w:rsidRPr="004003E0" w:rsidRDefault="004003E0" w:rsidP="004003E0">
            <w:pPr>
              <w:pStyle w:val="next"/>
              <w:spacing w:after="0"/>
              <w:rPr>
                <w:bCs/>
              </w:rPr>
            </w:pPr>
            <w:r w:rsidRPr="004003E0">
              <w:rPr>
                <w:bCs/>
              </w:rPr>
              <w:t xml:space="preserve">UK. A BRP showing Indefinite Leave to Remain, Indefinite Leave to Enter or No Time Limit can be used up to 18 months past the expiry date of the BRP. BRP holders should be encouraged to create an account and access their </w:t>
            </w:r>
            <w:proofErr w:type="spellStart"/>
            <w:r w:rsidRPr="004003E0">
              <w:rPr>
                <w:bCs/>
              </w:rPr>
              <w:t>eVisa</w:t>
            </w:r>
            <w:proofErr w:type="spellEnd"/>
          </w:p>
        </w:tc>
      </w:tr>
      <w:tr w:rsidR="004003E0" w:rsidRPr="004003E0" w14:paraId="0E8F90CF"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02937ED7" w14:textId="77777777" w:rsidR="004003E0" w:rsidRPr="004003E0" w:rsidRDefault="004003E0" w:rsidP="004003E0">
            <w:pPr>
              <w:pStyle w:val="next"/>
              <w:spacing w:after="0"/>
              <w:rPr>
                <w:bCs/>
              </w:rPr>
            </w:pPr>
            <w:r w:rsidRPr="004003E0">
              <w:rPr>
                <w:bCs/>
              </w:rPr>
              <w:t>Application Registration Card (ARC)</w:t>
            </w:r>
          </w:p>
        </w:tc>
        <w:tc>
          <w:tcPr>
            <w:tcW w:w="0" w:type="auto"/>
            <w:tcBorders>
              <w:bottom w:val="single" w:sz="6" w:space="0" w:color="B1B4B6"/>
            </w:tcBorders>
            <w:shd w:val="clear" w:color="auto" w:fill="FFFFFF"/>
            <w:tcMar>
              <w:top w:w="150" w:type="dxa"/>
              <w:left w:w="0" w:type="dxa"/>
              <w:bottom w:w="150" w:type="dxa"/>
              <w:right w:w="0" w:type="dxa"/>
            </w:tcMar>
            <w:hideMark/>
          </w:tcPr>
          <w:p w14:paraId="6F75A032" w14:textId="77777777" w:rsidR="004003E0" w:rsidRPr="004003E0" w:rsidRDefault="004003E0" w:rsidP="004003E0">
            <w:pPr>
              <w:pStyle w:val="next"/>
              <w:spacing w:after="0"/>
              <w:rPr>
                <w:bCs/>
              </w:rPr>
            </w:pPr>
            <w:r w:rsidRPr="004003E0">
              <w:rPr>
                <w:bCs/>
              </w:rPr>
              <w:t>Issued by the Home Office. Must be checked against the </w:t>
            </w:r>
            <w:hyperlink r:id="rId27" w:history="1">
              <w:r w:rsidRPr="004003E0">
                <w:rPr>
                  <w:rStyle w:val="Hyperlink"/>
                  <w:bCs/>
                </w:rPr>
                <w:t>Home Office Employer Checking Service</w:t>
              </w:r>
            </w:hyperlink>
            <w:r w:rsidRPr="004003E0">
              <w:rPr>
                <w:bCs/>
              </w:rPr>
              <w:t>.</w:t>
            </w:r>
          </w:p>
        </w:tc>
      </w:tr>
      <w:tr w:rsidR="004003E0" w:rsidRPr="004003E0" w14:paraId="19F17510"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34B31C4F" w14:textId="77777777" w:rsidR="004003E0" w:rsidRPr="004003E0" w:rsidRDefault="004003E0" w:rsidP="004003E0">
            <w:pPr>
              <w:pStyle w:val="next"/>
              <w:spacing w:after="0"/>
              <w:rPr>
                <w:bCs/>
              </w:rPr>
            </w:pPr>
            <w:r w:rsidRPr="004003E0">
              <w:rPr>
                <w:bCs/>
              </w:rPr>
              <w:t>Current driving licence photocard - (full or provisional)</w:t>
            </w:r>
          </w:p>
        </w:tc>
        <w:tc>
          <w:tcPr>
            <w:tcW w:w="0" w:type="auto"/>
            <w:tcBorders>
              <w:bottom w:val="single" w:sz="6" w:space="0" w:color="B1B4B6"/>
            </w:tcBorders>
            <w:shd w:val="clear" w:color="auto" w:fill="FFFFFF"/>
            <w:tcMar>
              <w:top w:w="150" w:type="dxa"/>
              <w:left w:w="0" w:type="dxa"/>
              <w:bottom w:w="150" w:type="dxa"/>
              <w:right w:w="0" w:type="dxa"/>
            </w:tcMar>
            <w:hideMark/>
          </w:tcPr>
          <w:p w14:paraId="5651C4A3" w14:textId="77777777" w:rsidR="004003E0" w:rsidRPr="004003E0" w:rsidRDefault="004003E0" w:rsidP="004003E0">
            <w:pPr>
              <w:pStyle w:val="next"/>
              <w:spacing w:after="0"/>
              <w:rPr>
                <w:bCs/>
              </w:rPr>
            </w:pPr>
            <w:r w:rsidRPr="004003E0">
              <w:rPr>
                <w:bCs/>
              </w:rPr>
              <w:t>Current and valid photocard driving licence issued by UK, Isle of Man, and Channel Islands. From 8 June 2015, the paper counterpart to the photocard driving licence will not be valid and will no longer be issued by DVLA</w:t>
            </w:r>
          </w:p>
        </w:tc>
      </w:tr>
      <w:tr w:rsidR="004003E0" w:rsidRPr="004003E0" w14:paraId="0CB882A8"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5F24A41A" w14:textId="77777777" w:rsidR="004003E0" w:rsidRPr="004003E0" w:rsidRDefault="004003E0" w:rsidP="004003E0">
            <w:pPr>
              <w:pStyle w:val="next"/>
              <w:spacing w:after="0"/>
              <w:rPr>
                <w:bCs/>
              </w:rPr>
            </w:pPr>
            <w:r w:rsidRPr="004003E0">
              <w:rPr>
                <w:bCs/>
              </w:rPr>
              <w:t>Birth certificate - issued within 12 months of birth</w:t>
            </w:r>
          </w:p>
        </w:tc>
        <w:tc>
          <w:tcPr>
            <w:tcW w:w="0" w:type="auto"/>
            <w:tcBorders>
              <w:bottom w:val="single" w:sz="6" w:space="0" w:color="B1B4B6"/>
            </w:tcBorders>
            <w:shd w:val="clear" w:color="auto" w:fill="FFFFFF"/>
            <w:tcMar>
              <w:top w:w="150" w:type="dxa"/>
              <w:left w:w="0" w:type="dxa"/>
              <w:bottom w:w="150" w:type="dxa"/>
              <w:right w:w="0" w:type="dxa"/>
            </w:tcMar>
            <w:hideMark/>
          </w:tcPr>
          <w:p w14:paraId="1BB8699E" w14:textId="77777777" w:rsidR="004003E0" w:rsidRPr="004003E0" w:rsidRDefault="004003E0" w:rsidP="004003E0">
            <w:pPr>
              <w:pStyle w:val="next"/>
              <w:spacing w:after="0"/>
              <w:rPr>
                <w:bCs/>
              </w:rPr>
            </w:pPr>
            <w:r w:rsidRPr="004003E0">
              <w:rPr>
                <w:bCs/>
              </w:rPr>
              <w:t>UK, Isle of Man, and Channel Islands - including those issued by UK authorities overseas, for example embassies, High Commissions and HM Forces. Must be original birth certificate. Certified copies are a group 2a document.</w:t>
            </w:r>
          </w:p>
        </w:tc>
      </w:tr>
      <w:tr w:rsidR="004003E0" w:rsidRPr="004003E0" w14:paraId="082D6043"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1D79199C" w14:textId="77777777" w:rsidR="004003E0" w:rsidRPr="004003E0" w:rsidRDefault="004003E0" w:rsidP="004003E0">
            <w:pPr>
              <w:pStyle w:val="next"/>
              <w:spacing w:after="0"/>
              <w:rPr>
                <w:bCs/>
              </w:rPr>
            </w:pPr>
            <w:r w:rsidRPr="004003E0">
              <w:rPr>
                <w:bCs/>
              </w:rPr>
              <w:t>Adoption certificate</w:t>
            </w:r>
          </w:p>
        </w:tc>
        <w:tc>
          <w:tcPr>
            <w:tcW w:w="0" w:type="auto"/>
            <w:tcBorders>
              <w:bottom w:val="single" w:sz="6" w:space="0" w:color="B1B4B6"/>
            </w:tcBorders>
            <w:shd w:val="clear" w:color="auto" w:fill="FFFFFF"/>
            <w:tcMar>
              <w:top w:w="150" w:type="dxa"/>
              <w:left w:w="0" w:type="dxa"/>
              <w:bottom w:w="150" w:type="dxa"/>
              <w:right w:w="0" w:type="dxa"/>
            </w:tcMar>
            <w:hideMark/>
          </w:tcPr>
          <w:p w14:paraId="49D84073" w14:textId="77777777" w:rsidR="004003E0" w:rsidRPr="004003E0" w:rsidRDefault="004003E0" w:rsidP="004003E0">
            <w:pPr>
              <w:pStyle w:val="next"/>
              <w:spacing w:after="0"/>
              <w:rPr>
                <w:bCs/>
              </w:rPr>
            </w:pPr>
            <w:r w:rsidRPr="004003E0">
              <w:rPr>
                <w:bCs/>
              </w:rPr>
              <w:t>UK and Channel Islands</w:t>
            </w:r>
          </w:p>
        </w:tc>
      </w:tr>
    </w:tbl>
    <w:p w14:paraId="4FEFEB2D" w14:textId="77777777" w:rsidR="004003E0" w:rsidRDefault="004003E0" w:rsidP="004003E0">
      <w:pPr>
        <w:pStyle w:val="next"/>
        <w:spacing w:after="0"/>
        <w:rPr>
          <w:b/>
          <w:bCs/>
        </w:rPr>
      </w:pPr>
    </w:p>
    <w:p w14:paraId="3085319B" w14:textId="77777777" w:rsidR="004003E0" w:rsidRDefault="004003E0" w:rsidP="004003E0">
      <w:pPr>
        <w:pStyle w:val="next"/>
        <w:spacing w:after="0"/>
        <w:rPr>
          <w:b/>
          <w:bCs/>
        </w:rPr>
      </w:pPr>
    </w:p>
    <w:p w14:paraId="4A5CF4B9" w14:textId="77777777" w:rsidR="004003E0" w:rsidRDefault="004003E0" w:rsidP="004003E0">
      <w:pPr>
        <w:pStyle w:val="next"/>
        <w:spacing w:after="0"/>
        <w:rPr>
          <w:b/>
          <w:bCs/>
        </w:rPr>
      </w:pPr>
    </w:p>
    <w:p w14:paraId="0FF6CAE4" w14:textId="77777777" w:rsidR="004003E0" w:rsidRDefault="004003E0" w:rsidP="004003E0">
      <w:pPr>
        <w:pStyle w:val="next"/>
        <w:spacing w:after="0"/>
        <w:rPr>
          <w:b/>
          <w:bCs/>
        </w:rPr>
      </w:pPr>
    </w:p>
    <w:p w14:paraId="64EAE01F" w14:textId="77777777" w:rsidR="004003E0" w:rsidRDefault="004003E0" w:rsidP="004003E0">
      <w:pPr>
        <w:pStyle w:val="next"/>
        <w:spacing w:after="0"/>
        <w:rPr>
          <w:b/>
          <w:bCs/>
        </w:rPr>
      </w:pPr>
    </w:p>
    <w:p w14:paraId="51E9823F" w14:textId="77777777" w:rsidR="004003E0" w:rsidRDefault="004003E0" w:rsidP="004003E0">
      <w:pPr>
        <w:pStyle w:val="next"/>
        <w:spacing w:after="0"/>
        <w:rPr>
          <w:b/>
          <w:bCs/>
        </w:rPr>
      </w:pPr>
    </w:p>
    <w:p w14:paraId="4FD28DB5" w14:textId="4E3E87E3" w:rsidR="004003E0" w:rsidRPr="004003E0" w:rsidRDefault="004003E0" w:rsidP="004003E0">
      <w:pPr>
        <w:pStyle w:val="next"/>
        <w:spacing w:after="0"/>
        <w:rPr>
          <w:b/>
          <w:bCs/>
          <w:color w:val="C00000"/>
        </w:rPr>
      </w:pPr>
      <w:r w:rsidRPr="004003E0">
        <w:rPr>
          <w:b/>
          <w:bCs/>
          <w:color w:val="C00000"/>
        </w:rPr>
        <w:t>Group 2a: Trusted government documents</w:t>
      </w:r>
    </w:p>
    <w:p w14:paraId="1483A863" w14:textId="77777777" w:rsidR="004003E0" w:rsidRPr="004003E0" w:rsidRDefault="004003E0" w:rsidP="004003E0">
      <w:pPr>
        <w:pStyle w:val="next"/>
        <w:spacing w:after="0"/>
        <w:rPr>
          <w:b/>
          <w:bCs/>
        </w:rPr>
      </w:pPr>
    </w:p>
    <w:tbl>
      <w:tblPr>
        <w:tblW w:w="10688" w:type="dxa"/>
        <w:shd w:val="clear" w:color="auto" w:fill="FFFFFF"/>
        <w:tblCellMar>
          <w:top w:w="15" w:type="dxa"/>
          <w:left w:w="15" w:type="dxa"/>
          <w:bottom w:w="15" w:type="dxa"/>
          <w:right w:w="15" w:type="dxa"/>
        </w:tblCellMar>
        <w:tblLook w:val="04A0" w:firstRow="1" w:lastRow="0" w:firstColumn="1" w:lastColumn="0" w:noHBand="0" w:noVBand="1"/>
      </w:tblPr>
      <w:tblGrid>
        <w:gridCol w:w="3952"/>
        <w:gridCol w:w="6736"/>
      </w:tblGrid>
      <w:tr w:rsidR="004003E0" w:rsidRPr="004003E0" w14:paraId="0AC13D17" w14:textId="77777777" w:rsidTr="004003E0">
        <w:trPr>
          <w:tblHeader/>
        </w:trPr>
        <w:tc>
          <w:tcPr>
            <w:tcW w:w="0" w:type="auto"/>
            <w:tcBorders>
              <w:bottom w:val="single" w:sz="6" w:space="0" w:color="B1B4B6"/>
            </w:tcBorders>
            <w:shd w:val="clear" w:color="auto" w:fill="FFFFFF"/>
            <w:tcMar>
              <w:top w:w="150" w:type="dxa"/>
              <w:left w:w="0" w:type="dxa"/>
              <w:bottom w:w="150" w:type="dxa"/>
              <w:right w:w="300" w:type="dxa"/>
            </w:tcMar>
            <w:hideMark/>
          </w:tcPr>
          <w:p w14:paraId="5B932867" w14:textId="77777777" w:rsidR="004003E0" w:rsidRPr="004003E0" w:rsidRDefault="004003E0" w:rsidP="004003E0">
            <w:pPr>
              <w:pStyle w:val="next"/>
              <w:spacing w:after="0"/>
              <w:rPr>
                <w:b/>
                <w:bCs/>
              </w:rPr>
            </w:pPr>
            <w:r w:rsidRPr="004003E0">
              <w:rPr>
                <w:b/>
                <w:bCs/>
              </w:rPr>
              <w:t>Document</w:t>
            </w:r>
          </w:p>
        </w:tc>
        <w:tc>
          <w:tcPr>
            <w:tcW w:w="0" w:type="auto"/>
            <w:tcBorders>
              <w:bottom w:val="single" w:sz="6" w:space="0" w:color="B1B4B6"/>
            </w:tcBorders>
            <w:shd w:val="clear" w:color="auto" w:fill="FFFFFF"/>
            <w:tcMar>
              <w:top w:w="150" w:type="dxa"/>
              <w:left w:w="0" w:type="dxa"/>
              <w:bottom w:w="150" w:type="dxa"/>
              <w:right w:w="0" w:type="dxa"/>
            </w:tcMar>
            <w:hideMark/>
          </w:tcPr>
          <w:p w14:paraId="3781D47B" w14:textId="77777777" w:rsidR="004003E0" w:rsidRPr="004003E0" w:rsidRDefault="004003E0" w:rsidP="004003E0">
            <w:pPr>
              <w:pStyle w:val="next"/>
              <w:spacing w:after="0"/>
              <w:rPr>
                <w:b/>
                <w:bCs/>
              </w:rPr>
            </w:pPr>
            <w:r w:rsidRPr="004003E0">
              <w:rPr>
                <w:b/>
                <w:bCs/>
              </w:rPr>
              <w:t>Notes</w:t>
            </w:r>
          </w:p>
        </w:tc>
      </w:tr>
      <w:tr w:rsidR="004003E0" w:rsidRPr="004003E0" w14:paraId="42C5E073"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32515CFE" w14:textId="77777777" w:rsidR="004003E0" w:rsidRPr="004003E0" w:rsidRDefault="004003E0" w:rsidP="004003E0">
            <w:pPr>
              <w:pStyle w:val="next"/>
              <w:spacing w:after="0"/>
              <w:rPr>
                <w:bCs/>
              </w:rPr>
            </w:pPr>
            <w:r w:rsidRPr="004003E0">
              <w:rPr>
                <w:bCs/>
              </w:rPr>
              <w:t>Current driving licence photocard - (full or provisional)</w:t>
            </w:r>
          </w:p>
        </w:tc>
        <w:tc>
          <w:tcPr>
            <w:tcW w:w="0" w:type="auto"/>
            <w:tcBorders>
              <w:bottom w:val="single" w:sz="6" w:space="0" w:color="B1B4B6"/>
            </w:tcBorders>
            <w:shd w:val="clear" w:color="auto" w:fill="FFFFFF"/>
            <w:tcMar>
              <w:top w:w="150" w:type="dxa"/>
              <w:left w:w="0" w:type="dxa"/>
              <w:bottom w:w="150" w:type="dxa"/>
              <w:right w:w="0" w:type="dxa"/>
            </w:tcMar>
            <w:hideMark/>
          </w:tcPr>
          <w:p w14:paraId="76695A9B" w14:textId="77777777" w:rsidR="004003E0" w:rsidRPr="004003E0" w:rsidRDefault="004003E0" w:rsidP="004003E0">
            <w:pPr>
              <w:pStyle w:val="next"/>
              <w:spacing w:after="0"/>
              <w:rPr>
                <w:bCs/>
              </w:rPr>
            </w:pPr>
            <w:r w:rsidRPr="004003E0">
              <w:rPr>
                <w:bCs/>
              </w:rPr>
              <w:t>Current and valid. All countries outside the UK (excluding Isle of Man and Channel Islands)</w:t>
            </w:r>
          </w:p>
        </w:tc>
      </w:tr>
      <w:tr w:rsidR="004003E0" w:rsidRPr="004003E0" w14:paraId="2258954C"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3C40643C" w14:textId="77777777" w:rsidR="004003E0" w:rsidRPr="004003E0" w:rsidRDefault="004003E0" w:rsidP="004003E0">
            <w:pPr>
              <w:pStyle w:val="next"/>
              <w:spacing w:after="0"/>
              <w:rPr>
                <w:bCs/>
              </w:rPr>
            </w:pPr>
            <w:r w:rsidRPr="004003E0">
              <w:rPr>
                <w:bCs/>
              </w:rPr>
              <w:t>Current driving licence (full or provisional) - paper version (if issued before March 2000)</w:t>
            </w:r>
          </w:p>
        </w:tc>
        <w:tc>
          <w:tcPr>
            <w:tcW w:w="0" w:type="auto"/>
            <w:tcBorders>
              <w:bottom w:val="single" w:sz="6" w:space="0" w:color="B1B4B6"/>
            </w:tcBorders>
            <w:shd w:val="clear" w:color="auto" w:fill="FFFFFF"/>
            <w:tcMar>
              <w:top w:w="150" w:type="dxa"/>
              <w:left w:w="0" w:type="dxa"/>
              <w:bottom w:w="150" w:type="dxa"/>
              <w:right w:w="0" w:type="dxa"/>
            </w:tcMar>
            <w:hideMark/>
          </w:tcPr>
          <w:p w14:paraId="0D521E14" w14:textId="77777777" w:rsidR="004003E0" w:rsidRPr="004003E0" w:rsidRDefault="004003E0" w:rsidP="004003E0">
            <w:pPr>
              <w:pStyle w:val="next"/>
              <w:spacing w:after="0"/>
              <w:rPr>
                <w:bCs/>
              </w:rPr>
            </w:pPr>
            <w:r w:rsidRPr="004003E0">
              <w:rPr>
                <w:bCs/>
              </w:rPr>
              <w:t>Current and valid. UK, Isle of Man, and Channel Islands. For a paper licence to be valid it must be issued before March 2000 and all information, including name and address, must be up to date</w:t>
            </w:r>
          </w:p>
        </w:tc>
      </w:tr>
      <w:tr w:rsidR="004003E0" w:rsidRPr="004003E0" w14:paraId="6E203DFB"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3B6448A5" w14:textId="77777777" w:rsidR="004003E0" w:rsidRPr="004003E0" w:rsidRDefault="004003E0" w:rsidP="004003E0">
            <w:pPr>
              <w:pStyle w:val="next"/>
              <w:spacing w:after="0"/>
              <w:rPr>
                <w:bCs/>
              </w:rPr>
            </w:pPr>
            <w:r w:rsidRPr="004003E0">
              <w:rPr>
                <w:bCs/>
              </w:rPr>
              <w:lastRenderedPageBreak/>
              <w:t>Birth certificate - issued more than 12 months after time of birth</w:t>
            </w:r>
          </w:p>
        </w:tc>
        <w:tc>
          <w:tcPr>
            <w:tcW w:w="0" w:type="auto"/>
            <w:tcBorders>
              <w:bottom w:val="single" w:sz="6" w:space="0" w:color="B1B4B6"/>
            </w:tcBorders>
            <w:shd w:val="clear" w:color="auto" w:fill="FFFFFF"/>
            <w:tcMar>
              <w:top w:w="150" w:type="dxa"/>
              <w:left w:w="0" w:type="dxa"/>
              <w:bottom w:w="150" w:type="dxa"/>
              <w:right w:w="0" w:type="dxa"/>
            </w:tcMar>
            <w:hideMark/>
          </w:tcPr>
          <w:p w14:paraId="1143B916" w14:textId="77777777" w:rsidR="004003E0" w:rsidRPr="004003E0" w:rsidRDefault="004003E0" w:rsidP="004003E0">
            <w:pPr>
              <w:pStyle w:val="next"/>
              <w:spacing w:after="0"/>
              <w:rPr>
                <w:bCs/>
              </w:rPr>
            </w:pPr>
            <w:r w:rsidRPr="004003E0">
              <w:rPr>
                <w:bCs/>
              </w:rPr>
              <w:t>UK, Isle of Man, and Channel Islands.</w:t>
            </w:r>
          </w:p>
        </w:tc>
      </w:tr>
      <w:tr w:rsidR="004003E0" w:rsidRPr="004003E0" w14:paraId="2792AB91"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65F6C0D7" w14:textId="77777777" w:rsidR="004003E0" w:rsidRPr="004003E0" w:rsidRDefault="004003E0" w:rsidP="004003E0">
            <w:pPr>
              <w:pStyle w:val="next"/>
              <w:spacing w:after="0"/>
              <w:rPr>
                <w:bCs/>
              </w:rPr>
            </w:pPr>
            <w:r w:rsidRPr="004003E0">
              <w:rPr>
                <w:bCs/>
              </w:rPr>
              <w:t>Marriage/civil partnership certificate</w:t>
            </w:r>
          </w:p>
        </w:tc>
        <w:tc>
          <w:tcPr>
            <w:tcW w:w="0" w:type="auto"/>
            <w:tcBorders>
              <w:bottom w:val="single" w:sz="6" w:space="0" w:color="B1B4B6"/>
            </w:tcBorders>
            <w:shd w:val="clear" w:color="auto" w:fill="FFFFFF"/>
            <w:tcMar>
              <w:top w:w="150" w:type="dxa"/>
              <w:left w:w="0" w:type="dxa"/>
              <w:bottom w:w="150" w:type="dxa"/>
              <w:right w:w="0" w:type="dxa"/>
            </w:tcMar>
            <w:hideMark/>
          </w:tcPr>
          <w:p w14:paraId="4650DF48" w14:textId="77777777" w:rsidR="004003E0" w:rsidRPr="004003E0" w:rsidRDefault="004003E0" w:rsidP="004003E0">
            <w:pPr>
              <w:pStyle w:val="next"/>
              <w:spacing w:after="0"/>
              <w:rPr>
                <w:bCs/>
              </w:rPr>
            </w:pPr>
            <w:r w:rsidRPr="004003E0">
              <w:rPr>
                <w:bCs/>
              </w:rPr>
              <w:t>UK and Channel Islands</w:t>
            </w:r>
          </w:p>
        </w:tc>
      </w:tr>
      <w:tr w:rsidR="004003E0" w:rsidRPr="004003E0" w14:paraId="0FDDD2F4"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40CCAE6C" w14:textId="77777777" w:rsidR="004003E0" w:rsidRPr="004003E0" w:rsidRDefault="004003E0" w:rsidP="004003E0">
            <w:pPr>
              <w:pStyle w:val="next"/>
              <w:spacing w:after="0"/>
              <w:rPr>
                <w:bCs/>
              </w:rPr>
            </w:pPr>
            <w:r w:rsidRPr="004003E0">
              <w:rPr>
                <w:bCs/>
              </w:rPr>
              <w:t>Immigration document, visa, or work permit</w:t>
            </w:r>
          </w:p>
        </w:tc>
        <w:tc>
          <w:tcPr>
            <w:tcW w:w="0" w:type="auto"/>
            <w:tcBorders>
              <w:bottom w:val="single" w:sz="6" w:space="0" w:color="B1B4B6"/>
            </w:tcBorders>
            <w:shd w:val="clear" w:color="auto" w:fill="FFFFFF"/>
            <w:tcMar>
              <w:top w:w="150" w:type="dxa"/>
              <w:left w:w="0" w:type="dxa"/>
              <w:bottom w:w="150" w:type="dxa"/>
              <w:right w:w="0" w:type="dxa"/>
            </w:tcMar>
            <w:hideMark/>
          </w:tcPr>
          <w:p w14:paraId="074C296C" w14:textId="77777777" w:rsidR="004003E0" w:rsidRPr="004003E0" w:rsidRDefault="004003E0" w:rsidP="004003E0">
            <w:pPr>
              <w:pStyle w:val="next"/>
              <w:spacing w:after="0"/>
              <w:rPr>
                <w:bCs/>
              </w:rPr>
            </w:pPr>
            <w:r w:rsidRPr="004003E0">
              <w:rPr>
                <w:bCs/>
              </w:rPr>
              <w:t>Issued by a country outside the UK. Valid only for roles whereby the applicant is living and working outside of the UK. Visa/permit must relate to the non-UK country in which the role is based</w:t>
            </w:r>
          </w:p>
        </w:tc>
      </w:tr>
      <w:tr w:rsidR="004003E0" w:rsidRPr="004003E0" w14:paraId="7B415091"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4BF28F64" w14:textId="77777777" w:rsidR="004003E0" w:rsidRPr="004003E0" w:rsidRDefault="004003E0" w:rsidP="004003E0">
            <w:pPr>
              <w:pStyle w:val="next"/>
              <w:spacing w:after="0"/>
              <w:rPr>
                <w:bCs/>
              </w:rPr>
            </w:pPr>
            <w:r w:rsidRPr="004003E0">
              <w:rPr>
                <w:bCs/>
              </w:rPr>
              <w:t>HM Forces ID card or HM Armed Forces Veteran card</w:t>
            </w:r>
          </w:p>
        </w:tc>
        <w:tc>
          <w:tcPr>
            <w:tcW w:w="0" w:type="auto"/>
            <w:tcBorders>
              <w:bottom w:val="single" w:sz="6" w:space="0" w:color="B1B4B6"/>
            </w:tcBorders>
            <w:shd w:val="clear" w:color="auto" w:fill="FFFFFF"/>
            <w:tcMar>
              <w:top w:w="150" w:type="dxa"/>
              <w:left w:w="0" w:type="dxa"/>
              <w:bottom w:w="150" w:type="dxa"/>
              <w:right w:w="0" w:type="dxa"/>
            </w:tcMar>
            <w:hideMark/>
          </w:tcPr>
          <w:p w14:paraId="3373C45F" w14:textId="77777777" w:rsidR="004003E0" w:rsidRPr="004003E0" w:rsidRDefault="004003E0" w:rsidP="004003E0">
            <w:pPr>
              <w:pStyle w:val="next"/>
              <w:spacing w:after="0"/>
              <w:rPr>
                <w:bCs/>
              </w:rPr>
            </w:pPr>
            <w:r w:rsidRPr="004003E0">
              <w:rPr>
                <w:bCs/>
              </w:rPr>
              <w:t>UK</w:t>
            </w:r>
          </w:p>
        </w:tc>
      </w:tr>
      <w:tr w:rsidR="004003E0" w:rsidRPr="004003E0" w14:paraId="5278E00F"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13BCC5A3" w14:textId="77777777" w:rsidR="004003E0" w:rsidRPr="004003E0" w:rsidRDefault="004003E0" w:rsidP="004003E0">
            <w:pPr>
              <w:pStyle w:val="next"/>
              <w:spacing w:after="0"/>
              <w:rPr>
                <w:bCs/>
              </w:rPr>
            </w:pPr>
            <w:r w:rsidRPr="004003E0">
              <w:rPr>
                <w:bCs/>
              </w:rPr>
              <w:t>Firearms licence</w:t>
            </w:r>
          </w:p>
        </w:tc>
        <w:tc>
          <w:tcPr>
            <w:tcW w:w="0" w:type="auto"/>
            <w:tcBorders>
              <w:bottom w:val="single" w:sz="6" w:space="0" w:color="B1B4B6"/>
            </w:tcBorders>
            <w:shd w:val="clear" w:color="auto" w:fill="FFFFFF"/>
            <w:tcMar>
              <w:top w:w="150" w:type="dxa"/>
              <w:left w:w="0" w:type="dxa"/>
              <w:bottom w:w="150" w:type="dxa"/>
              <w:right w:w="0" w:type="dxa"/>
            </w:tcMar>
            <w:hideMark/>
          </w:tcPr>
          <w:p w14:paraId="4BF6B48A" w14:textId="77777777" w:rsidR="004003E0" w:rsidRPr="004003E0" w:rsidRDefault="004003E0" w:rsidP="004003E0">
            <w:pPr>
              <w:pStyle w:val="next"/>
              <w:spacing w:after="0"/>
              <w:rPr>
                <w:bCs/>
              </w:rPr>
            </w:pPr>
            <w:r w:rsidRPr="004003E0">
              <w:rPr>
                <w:bCs/>
              </w:rPr>
              <w:t>UK, Isle of Man, and Channel Islands</w:t>
            </w:r>
          </w:p>
        </w:tc>
      </w:tr>
    </w:tbl>
    <w:p w14:paraId="454D69A6" w14:textId="77777777" w:rsidR="004003E0" w:rsidRDefault="004003E0" w:rsidP="004003E0">
      <w:pPr>
        <w:pStyle w:val="next"/>
        <w:spacing w:after="0"/>
        <w:rPr>
          <w:b/>
          <w:bCs/>
          <w:color w:val="C00000"/>
        </w:rPr>
      </w:pPr>
    </w:p>
    <w:p w14:paraId="023875B2" w14:textId="502C0F22" w:rsidR="004003E0" w:rsidRDefault="004003E0" w:rsidP="004003E0">
      <w:pPr>
        <w:pStyle w:val="next"/>
        <w:spacing w:after="0"/>
        <w:rPr>
          <w:b/>
          <w:bCs/>
          <w:color w:val="C00000"/>
        </w:rPr>
      </w:pPr>
      <w:r w:rsidRPr="004003E0">
        <w:rPr>
          <w:b/>
          <w:bCs/>
          <w:color w:val="C00000"/>
        </w:rPr>
        <w:t>Group 2b: Financial and social history documents</w:t>
      </w:r>
    </w:p>
    <w:p w14:paraId="793C39C6" w14:textId="77777777" w:rsidR="004003E0" w:rsidRPr="004003E0" w:rsidRDefault="004003E0" w:rsidP="004003E0">
      <w:pPr>
        <w:pStyle w:val="next"/>
        <w:spacing w:after="0"/>
        <w:rPr>
          <w:b/>
          <w:bCs/>
          <w:color w:val="C00000"/>
        </w:rPr>
      </w:pPr>
    </w:p>
    <w:tbl>
      <w:tblPr>
        <w:tblW w:w="10688" w:type="dxa"/>
        <w:shd w:val="clear" w:color="auto" w:fill="FFFFFF"/>
        <w:tblCellMar>
          <w:top w:w="15" w:type="dxa"/>
          <w:left w:w="15" w:type="dxa"/>
          <w:bottom w:w="15" w:type="dxa"/>
          <w:right w:w="15" w:type="dxa"/>
        </w:tblCellMar>
        <w:tblLook w:val="04A0" w:firstRow="1" w:lastRow="0" w:firstColumn="1" w:lastColumn="0" w:noHBand="0" w:noVBand="1"/>
      </w:tblPr>
      <w:tblGrid>
        <w:gridCol w:w="4308"/>
        <w:gridCol w:w="4296"/>
        <w:gridCol w:w="2084"/>
      </w:tblGrid>
      <w:tr w:rsidR="004003E0" w:rsidRPr="004003E0" w14:paraId="2CC630B3" w14:textId="77777777" w:rsidTr="004003E0">
        <w:trPr>
          <w:tblHeader/>
        </w:trPr>
        <w:tc>
          <w:tcPr>
            <w:tcW w:w="0" w:type="auto"/>
            <w:tcBorders>
              <w:bottom w:val="single" w:sz="6" w:space="0" w:color="B1B4B6"/>
            </w:tcBorders>
            <w:shd w:val="clear" w:color="auto" w:fill="FFFFFF"/>
            <w:tcMar>
              <w:top w:w="150" w:type="dxa"/>
              <w:left w:w="0" w:type="dxa"/>
              <w:bottom w:w="150" w:type="dxa"/>
              <w:right w:w="300" w:type="dxa"/>
            </w:tcMar>
            <w:hideMark/>
          </w:tcPr>
          <w:p w14:paraId="4B07E3C3" w14:textId="77777777" w:rsidR="004003E0" w:rsidRPr="004003E0" w:rsidRDefault="004003E0" w:rsidP="004003E0">
            <w:pPr>
              <w:pStyle w:val="next"/>
              <w:spacing w:after="0"/>
              <w:rPr>
                <w:b/>
                <w:bCs/>
              </w:rPr>
            </w:pPr>
            <w:r w:rsidRPr="004003E0">
              <w:rPr>
                <w:b/>
                <w:bCs/>
              </w:rPr>
              <w:t>Documents</w:t>
            </w:r>
          </w:p>
        </w:tc>
        <w:tc>
          <w:tcPr>
            <w:tcW w:w="0" w:type="auto"/>
            <w:tcBorders>
              <w:bottom w:val="single" w:sz="6" w:space="0" w:color="B1B4B6"/>
            </w:tcBorders>
            <w:shd w:val="clear" w:color="auto" w:fill="FFFFFF"/>
            <w:tcMar>
              <w:top w:w="150" w:type="dxa"/>
              <w:left w:w="0" w:type="dxa"/>
              <w:bottom w:w="150" w:type="dxa"/>
              <w:right w:w="300" w:type="dxa"/>
            </w:tcMar>
            <w:hideMark/>
          </w:tcPr>
          <w:p w14:paraId="08B98F3B" w14:textId="77777777" w:rsidR="004003E0" w:rsidRPr="004003E0" w:rsidRDefault="004003E0" w:rsidP="004003E0">
            <w:pPr>
              <w:pStyle w:val="next"/>
              <w:spacing w:after="0"/>
              <w:rPr>
                <w:b/>
                <w:bCs/>
              </w:rPr>
            </w:pPr>
            <w:r w:rsidRPr="004003E0">
              <w:rPr>
                <w:b/>
                <w:bCs/>
              </w:rPr>
              <w:t>Notes</w:t>
            </w:r>
          </w:p>
        </w:tc>
        <w:tc>
          <w:tcPr>
            <w:tcW w:w="0" w:type="auto"/>
            <w:tcBorders>
              <w:bottom w:val="single" w:sz="6" w:space="0" w:color="B1B4B6"/>
            </w:tcBorders>
            <w:shd w:val="clear" w:color="auto" w:fill="FFFFFF"/>
            <w:tcMar>
              <w:top w:w="150" w:type="dxa"/>
              <w:left w:w="0" w:type="dxa"/>
              <w:bottom w:w="150" w:type="dxa"/>
              <w:right w:w="0" w:type="dxa"/>
            </w:tcMar>
            <w:hideMark/>
          </w:tcPr>
          <w:p w14:paraId="51B87751" w14:textId="77777777" w:rsidR="004003E0" w:rsidRPr="004003E0" w:rsidRDefault="004003E0" w:rsidP="004003E0">
            <w:pPr>
              <w:pStyle w:val="next"/>
              <w:spacing w:after="0"/>
              <w:rPr>
                <w:b/>
                <w:bCs/>
              </w:rPr>
            </w:pPr>
            <w:r w:rsidRPr="004003E0">
              <w:rPr>
                <w:b/>
                <w:bCs/>
              </w:rPr>
              <w:t>Issue date and validity</w:t>
            </w:r>
          </w:p>
        </w:tc>
      </w:tr>
      <w:tr w:rsidR="004003E0" w:rsidRPr="004003E0" w14:paraId="5BD6A1F2"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4A470770" w14:textId="77777777" w:rsidR="004003E0" w:rsidRPr="004003E0" w:rsidRDefault="004003E0" w:rsidP="004003E0">
            <w:pPr>
              <w:pStyle w:val="next"/>
              <w:spacing w:after="0"/>
              <w:rPr>
                <w:bCs/>
              </w:rPr>
            </w:pPr>
            <w:r w:rsidRPr="004003E0">
              <w:rPr>
                <w:bCs/>
              </w:rPr>
              <w:t>Mortgage statement</w:t>
            </w:r>
          </w:p>
        </w:tc>
        <w:tc>
          <w:tcPr>
            <w:tcW w:w="0" w:type="auto"/>
            <w:tcBorders>
              <w:bottom w:val="single" w:sz="6" w:space="0" w:color="B1B4B6"/>
            </w:tcBorders>
            <w:shd w:val="clear" w:color="auto" w:fill="FFFFFF"/>
            <w:tcMar>
              <w:top w:w="150" w:type="dxa"/>
              <w:left w:w="0" w:type="dxa"/>
              <w:bottom w:w="150" w:type="dxa"/>
              <w:right w:w="300" w:type="dxa"/>
            </w:tcMar>
            <w:hideMark/>
          </w:tcPr>
          <w:p w14:paraId="21F5274F" w14:textId="77777777" w:rsidR="004003E0" w:rsidRPr="004003E0" w:rsidRDefault="004003E0" w:rsidP="004003E0">
            <w:pPr>
              <w:pStyle w:val="next"/>
              <w:spacing w:after="0"/>
              <w:rPr>
                <w:bCs/>
              </w:rPr>
            </w:pPr>
            <w:r w:rsidRPr="004003E0">
              <w:rPr>
                <w:bCs/>
              </w:rPr>
              <w:t>UK</w:t>
            </w:r>
          </w:p>
        </w:tc>
        <w:tc>
          <w:tcPr>
            <w:tcW w:w="0" w:type="auto"/>
            <w:tcBorders>
              <w:bottom w:val="single" w:sz="6" w:space="0" w:color="B1B4B6"/>
            </w:tcBorders>
            <w:shd w:val="clear" w:color="auto" w:fill="FFFFFF"/>
            <w:tcMar>
              <w:top w:w="150" w:type="dxa"/>
              <w:left w:w="0" w:type="dxa"/>
              <w:bottom w:w="150" w:type="dxa"/>
              <w:right w:w="0" w:type="dxa"/>
            </w:tcMar>
            <w:hideMark/>
          </w:tcPr>
          <w:p w14:paraId="54F1D073" w14:textId="77777777" w:rsidR="004003E0" w:rsidRPr="004003E0" w:rsidRDefault="004003E0" w:rsidP="004003E0">
            <w:pPr>
              <w:pStyle w:val="next"/>
              <w:spacing w:after="0"/>
              <w:rPr>
                <w:bCs/>
              </w:rPr>
            </w:pPr>
            <w:r w:rsidRPr="004003E0">
              <w:rPr>
                <w:bCs/>
              </w:rPr>
              <w:t>Issued in last 12 months</w:t>
            </w:r>
          </w:p>
        </w:tc>
      </w:tr>
      <w:tr w:rsidR="004003E0" w:rsidRPr="004003E0" w14:paraId="052ADDB0"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540F9668" w14:textId="77777777" w:rsidR="004003E0" w:rsidRPr="004003E0" w:rsidRDefault="004003E0" w:rsidP="004003E0">
            <w:pPr>
              <w:pStyle w:val="next"/>
              <w:spacing w:after="0"/>
              <w:rPr>
                <w:bCs/>
              </w:rPr>
            </w:pPr>
            <w:r w:rsidRPr="004003E0">
              <w:rPr>
                <w:bCs/>
              </w:rPr>
              <w:t>Bank or building society statement</w:t>
            </w:r>
          </w:p>
        </w:tc>
        <w:tc>
          <w:tcPr>
            <w:tcW w:w="0" w:type="auto"/>
            <w:tcBorders>
              <w:bottom w:val="single" w:sz="6" w:space="0" w:color="B1B4B6"/>
            </w:tcBorders>
            <w:shd w:val="clear" w:color="auto" w:fill="FFFFFF"/>
            <w:tcMar>
              <w:top w:w="150" w:type="dxa"/>
              <w:left w:w="0" w:type="dxa"/>
              <w:bottom w:w="150" w:type="dxa"/>
              <w:right w:w="300" w:type="dxa"/>
            </w:tcMar>
            <w:hideMark/>
          </w:tcPr>
          <w:p w14:paraId="7509F748" w14:textId="77777777" w:rsidR="004003E0" w:rsidRPr="004003E0" w:rsidRDefault="004003E0" w:rsidP="004003E0">
            <w:pPr>
              <w:pStyle w:val="next"/>
              <w:spacing w:after="0"/>
              <w:rPr>
                <w:bCs/>
              </w:rPr>
            </w:pPr>
            <w:r w:rsidRPr="004003E0">
              <w:rPr>
                <w:bCs/>
              </w:rPr>
              <w:t>UK and Channel Islands. A print off of a bank statement that is endorsed with a stamp and signed by the bank is acceptable if you cannot have hard copy bank statements posted to you.</w:t>
            </w:r>
          </w:p>
        </w:tc>
        <w:tc>
          <w:tcPr>
            <w:tcW w:w="0" w:type="auto"/>
            <w:tcBorders>
              <w:bottom w:val="single" w:sz="6" w:space="0" w:color="B1B4B6"/>
            </w:tcBorders>
            <w:shd w:val="clear" w:color="auto" w:fill="FFFFFF"/>
            <w:tcMar>
              <w:top w:w="150" w:type="dxa"/>
              <w:left w:w="0" w:type="dxa"/>
              <w:bottom w:w="150" w:type="dxa"/>
              <w:right w:w="0" w:type="dxa"/>
            </w:tcMar>
            <w:hideMark/>
          </w:tcPr>
          <w:p w14:paraId="1A608DC1" w14:textId="77777777" w:rsidR="004003E0" w:rsidRPr="004003E0" w:rsidRDefault="004003E0" w:rsidP="004003E0">
            <w:pPr>
              <w:pStyle w:val="next"/>
              <w:spacing w:after="0"/>
              <w:rPr>
                <w:bCs/>
              </w:rPr>
            </w:pPr>
            <w:r w:rsidRPr="004003E0">
              <w:rPr>
                <w:bCs/>
              </w:rPr>
              <w:t>Issued in last 3 months</w:t>
            </w:r>
          </w:p>
        </w:tc>
      </w:tr>
      <w:tr w:rsidR="004003E0" w:rsidRPr="004003E0" w14:paraId="5E8D1811"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588761BB" w14:textId="77777777" w:rsidR="004003E0" w:rsidRPr="004003E0" w:rsidRDefault="004003E0" w:rsidP="004003E0">
            <w:pPr>
              <w:pStyle w:val="next"/>
              <w:spacing w:after="0"/>
              <w:rPr>
                <w:bCs/>
              </w:rPr>
            </w:pPr>
            <w:r w:rsidRPr="004003E0">
              <w:rPr>
                <w:bCs/>
              </w:rPr>
              <w:t>Bank or building society statement</w:t>
            </w:r>
          </w:p>
        </w:tc>
        <w:tc>
          <w:tcPr>
            <w:tcW w:w="0" w:type="auto"/>
            <w:tcBorders>
              <w:bottom w:val="single" w:sz="6" w:space="0" w:color="B1B4B6"/>
            </w:tcBorders>
            <w:shd w:val="clear" w:color="auto" w:fill="FFFFFF"/>
            <w:tcMar>
              <w:top w:w="150" w:type="dxa"/>
              <w:left w:w="0" w:type="dxa"/>
              <w:bottom w:w="150" w:type="dxa"/>
              <w:right w:w="300" w:type="dxa"/>
            </w:tcMar>
            <w:hideMark/>
          </w:tcPr>
          <w:p w14:paraId="5CBD36FF" w14:textId="77777777" w:rsidR="004003E0" w:rsidRPr="004003E0" w:rsidRDefault="004003E0" w:rsidP="004003E0">
            <w:pPr>
              <w:pStyle w:val="next"/>
              <w:spacing w:after="0"/>
              <w:rPr>
                <w:bCs/>
              </w:rPr>
            </w:pPr>
            <w:r w:rsidRPr="004003E0">
              <w:rPr>
                <w:bCs/>
              </w:rPr>
              <w:t>Countries outside the UK</w:t>
            </w:r>
          </w:p>
        </w:tc>
        <w:tc>
          <w:tcPr>
            <w:tcW w:w="0" w:type="auto"/>
            <w:tcBorders>
              <w:bottom w:val="single" w:sz="6" w:space="0" w:color="B1B4B6"/>
            </w:tcBorders>
            <w:shd w:val="clear" w:color="auto" w:fill="FFFFFF"/>
            <w:tcMar>
              <w:top w:w="150" w:type="dxa"/>
              <w:left w:w="0" w:type="dxa"/>
              <w:bottom w:w="150" w:type="dxa"/>
              <w:right w:w="0" w:type="dxa"/>
            </w:tcMar>
            <w:hideMark/>
          </w:tcPr>
          <w:p w14:paraId="61F3BC56" w14:textId="77777777" w:rsidR="004003E0" w:rsidRPr="004003E0" w:rsidRDefault="004003E0" w:rsidP="004003E0">
            <w:pPr>
              <w:pStyle w:val="next"/>
              <w:spacing w:after="0"/>
              <w:rPr>
                <w:bCs/>
              </w:rPr>
            </w:pPr>
            <w:r w:rsidRPr="004003E0">
              <w:rPr>
                <w:bCs/>
              </w:rPr>
              <w:t>Issued in last 3 months - branch must be in the country where the applicant lives and works</w:t>
            </w:r>
          </w:p>
        </w:tc>
      </w:tr>
      <w:tr w:rsidR="004003E0" w:rsidRPr="004003E0" w14:paraId="62E86DA4"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65E1226F" w14:textId="77777777" w:rsidR="004003E0" w:rsidRPr="004003E0" w:rsidRDefault="004003E0" w:rsidP="004003E0">
            <w:pPr>
              <w:pStyle w:val="next"/>
              <w:spacing w:after="0"/>
              <w:rPr>
                <w:bCs/>
              </w:rPr>
            </w:pPr>
            <w:r w:rsidRPr="004003E0">
              <w:rPr>
                <w:bCs/>
              </w:rPr>
              <w:t>Bank or building society account opening confirmation letter</w:t>
            </w:r>
          </w:p>
        </w:tc>
        <w:tc>
          <w:tcPr>
            <w:tcW w:w="0" w:type="auto"/>
            <w:tcBorders>
              <w:bottom w:val="single" w:sz="6" w:space="0" w:color="B1B4B6"/>
            </w:tcBorders>
            <w:shd w:val="clear" w:color="auto" w:fill="FFFFFF"/>
            <w:tcMar>
              <w:top w:w="150" w:type="dxa"/>
              <w:left w:w="0" w:type="dxa"/>
              <w:bottom w:w="150" w:type="dxa"/>
              <w:right w:w="300" w:type="dxa"/>
            </w:tcMar>
            <w:hideMark/>
          </w:tcPr>
          <w:p w14:paraId="08F2E980" w14:textId="77777777" w:rsidR="004003E0" w:rsidRPr="004003E0" w:rsidRDefault="004003E0" w:rsidP="004003E0">
            <w:pPr>
              <w:pStyle w:val="next"/>
              <w:spacing w:after="0"/>
              <w:rPr>
                <w:bCs/>
              </w:rPr>
            </w:pPr>
            <w:r w:rsidRPr="004003E0">
              <w:rPr>
                <w:bCs/>
              </w:rPr>
              <w:t>UK</w:t>
            </w:r>
          </w:p>
        </w:tc>
        <w:tc>
          <w:tcPr>
            <w:tcW w:w="0" w:type="auto"/>
            <w:tcBorders>
              <w:bottom w:val="single" w:sz="6" w:space="0" w:color="B1B4B6"/>
            </w:tcBorders>
            <w:shd w:val="clear" w:color="auto" w:fill="FFFFFF"/>
            <w:tcMar>
              <w:top w:w="150" w:type="dxa"/>
              <w:left w:w="0" w:type="dxa"/>
              <w:bottom w:w="150" w:type="dxa"/>
              <w:right w:w="0" w:type="dxa"/>
            </w:tcMar>
            <w:hideMark/>
          </w:tcPr>
          <w:p w14:paraId="69F47990" w14:textId="77777777" w:rsidR="004003E0" w:rsidRPr="004003E0" w:rsidRDefault="004003E0" w:rsidP="004003E0">
            <w:pPr>
              <w:pStyle w:val="next"/>
              <w:spacing w:after="0"/>
              <w:rPr>
                <w:bCs/>
              </w:rPr>
            </w:pPr>
            <w:r w:rsidRPr="004003E0">
              <w:rPr>
                <w:bCs/>
              </w:rPr>
              <w:t>Issued in last 3 months</w:t>
            </w:r>
          </w:p>
        </w:tc>
      </w:tr>
      <w:tr w:rsidR="004003E0" w:rsidRPr="004003E0" w14:paraId="2047BA33"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09C30EBD" w14:textId="77777777" w:rsidR="004003E0" w:rsidRPr="004003E0" w:rsidRDefault="004003E0" w:rsidP="004003E0">
            <w:pPr>
              <w:pStyle w:val="next"/>
              <w:spacing w:after="0"/>
              <w:rPr>
                <w:bCs/>
              </w:rPr>
            </w:pPr>
            <w:r w:rsidRPr="004003E0">
              <w:rPr>
                <w:bCs/>
              </w:rPr>
              <w:t>Credit card statement</w:t>
            </w:r>
          </w:p>
        </w:tc>
        <w:tc>
          <w:tcPr>
            <w:tcW w:w="0" w:type="auto"/>
            <w:tcBorders>
              <w:bottom w:val="single" w:sz="6" w:space="0" w:color="B1B4B6"/>
            </w:tcBorders>
            <w:shd w:val="clear" w:color="auto" w:fill="FFFFFF"/>
            <w:tcMar>
              <w:top w:w="150" w:type="dxa"/>
              <w:left w:w="0" w:type="dxa"/>
              <w:bottom w:w="150" w:type="dxa"/>
              <w:right w:w="300" w:type="dxa"/>
            </w:tcMar>
            <w:hideMark/>
          </w:tcPr>
          <w:p w14:paraId="1B191A31" w14:textId="77777777" w:rsidR="004003E0" w:rsidRPr="004003E0" w:rsidRDefault="004003E0" w:rsidP="004003E0">
            <w:pPr>
              <w:pStyle w:val="next"/>
              <w:spacing w:after="0"/>
              <w:rPr>
                <w:bCs/>
              </w:rPr>
            </w:pPr>
            <w:r w:rsidRPr="004003E0">
              <w:rPr>
                <w:bCs/>
              </w:rPr>
              <w:t>UK</w:t>
            </w:r>
          </w:p>
        </w:tc>
        <w:tc>
          <w:tcPr>
            <w:tcW w:w="0" w:type="auto"/>
            <w:tcBorders>
              <w:bottom w:val="single" w:sz="6" w:space="0" w:color="B1B4B6"/>
            </w:tcBorders>
            <w:shd w:val="clear" w:color="auto" w:fill="FFFFFF"/>
            <w:tcMar>
              <w:top w:w="150" w:type="dxa"/>
              <w:left w:w="0" w:type="dxa"/>
              <w:bottom w:w="150" w:type="dxa"/>
              <w:right w:w="0" w:type="dxa"/>
            </w:tcMar>
            <w:hideMark/>
          </w:tcPr>
          <w:p w14:paraId="2D0E7FC0" w14:textId="77777777" w:rsidR="004003E0" w:rsidRPr="004003E0" w:rsidRDefault="004003E0" w:rsidP="004003E0">
            <w:pPr>
              <w:pStyle w:val="next"/>
              <w:spacing w:after="0"/>
              <w:rPr>
                <w:bCs/>
              </w:rPr>
            </w:pPr>
            <w:r w:rsidRPr="004003E0">
              <w:rPr>
                <w:bCs/>
              </w:rPr>
              <w:t>Issued in last 3 months</w:t>
            </w:r>
          </w:p>
        </w:tc>
      </w:tr>
      <w:tr w:rsidR="004003E0" w:rsidRPr="004003E0" w14:paraId="3A399385"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7ABEFB02" w14:textId="77777777" w:rsidR="004003E0" w:rsidRPr="004003E0" w:rsidRDefault="004003E0" w:rsidP="004003E0">
            <w:pPr>
              <w:pStyle w:val="next"/>
              <w:spacing w:after="0"/>
              <w:rPr>
                <w:bCs/>
              </w:rPr>
            </w:pPr>
            <w:r w:rsidRPr="004003E0">
              <w:rPr>
                <w:bCs/>
              </w:rPr>
              <w:t>Financial statement, for example pension or endowment</w:t>
            </w:r>
          </w:p>
        </w:tc>
        <w:tc>
          <w:tcPr>
            <w:tcW w:w="0" w:type="auto"/>
            <w:tcBorders>
              <w:bottom w:val="single" w:sz="6" w:space="0" w:color="B1B4B6"/>
            </w:tcBorders>
            <w:shd w:val="clear" w:color="auto" w:fill="FFFFFF"/>
            <w:tcMar>
              <w:top w:w="150" w:type="dxa"/>
              <w:left w:w="0" w:type="dxa"/>
              <w:bottom w:w="150" w:type="dxa"/>
              <w:right w:w="300" w:type="dxa"/>
            </w:tcMar>
            <w:hideMark/>
          </w:tcPr>
          <w:p w14:paraId="0BB07CAF" w14:textId="77777777" w:rsidR="004003E0" w:rsidRPr="004003E0" w:rsidRDefault="004003E0" w:rsidP="004003E0">
            <w:pPr>
              <w:pStyle w:val="next"/>
              <w:spacing w:after="0"/>
              <w:rPr>
                <w:bCs/>
              </w:rPr>
            </w:pPr>
            <w:r w:rsidRPr="004003E0">
              <w:rPr>
                <w:bCs/>
              </w:rPr>
              <w:t>UK</w:t>
            </w:r>
          </w:p>
        </w:tc>
        <w:tc>
          <w:tcPr>
            <w:tcW w:w="0" w:type="auto"/>
            <w:tcBorders>
              <w:bottom w:val="single" w:sz="6" w:space="0" w:color="B1B4B6"/>
            </w:tcBorders>
            <w:shd w:val="clear" w:color="auto" w:fill="FFFFFF"/>
            <w:tcMar>
              <w:top w:w="150" w:type="dxa"/>
              <w:left w:w="0" w:type="dxa"/>
              <w:bottom w:w="150" w:type="dxa"/>
              <w:right w:w="0" w:type="dxa"/>
            </w:tcMar>
            <w:hideMark/>
          </w:tcPr>
          <w:p w14:paraId="0CABE9EB" w14:textId="77777777" w:rsidR="004003E0" w:rsidRPr="004003E0" w:rsidRDefault="004003E0" w:rsidP="004003E0">
            <w:pPr>
              <w:pStyle w:val="next"/>
              <w:spacing w:after="0"/>
              <w:rPr>
                <w:bCs/>
              </w:rPr>
            </w:pPr>
            <w:r w:rsidRPr="004003E0">
              <w:rPr>
                <w:bCs/>
              </w:rPr>
              <w:t>Issued in last 12 months</w:t>
            </w:r>
          </w:p>
        </w:tc>
      </w:tr>
      <w:tr w:rsidR="004003E0" w:rsidRPr="004003E0" w14:paraId="569C46F0"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4DDD232B" w14:textId="77777777" w:rsidR="004003E0" w:rsidRPr="004003E0" w:rsidRDefault="004003E0" w:rsidP="004003E0">
            <w:pPr>
              <w:pStyle w:val="next"/>
              <w:spacing w:after="0"/>
              <w:rPr>
                <w:bCs/>
              </w:rPr>
            </w:pPr>
            <w:r w:rsidRPr="004003E0">
              <w:rPr>
                <w:bCs/>
              </w:rPr>
              <w:lastRenderedPageBreak/>
              <w:t>P45 or P60 statement</w:t>
            </w:r>
          </w:p>
        </w:tc>
        <w:tc>
          <w:tcPr>
            <w:tcW w:w="0" w:type="auto"/>
            <w:tcBorders>
              <w:bottom w:val="single" w:sz="6" w:space="0" w:color="B1B4B6"/>
            </w:tcBorders>
            <w:shd w:val="clear" w:color="auto" w:fill="FFFFFF"/>
            <w:tcMar>
              <w:top w:w="150" w:type="dxa"/>
              <w:left w:w="0" w:type="dxa"/>
              <w:bottom w:w="150" w:type="dxa"/>
              <w:right w:w="300" w:type="dxa"/>
            </w:tcMar>
            <w:hideMark/>
          </w:tcPr>
          <w:p w14:paraId="379AF7E5" w14:textId="77777777" w:rsidR="004003E0" w:rsidRPr="004003E0" w:rsidRDefault="004003E0" w:rsidP="004003E0">
            <w:pPr>
              <w:pStyle w:val="next"/>
              <w:spacing w:after="0"/>
              <w:rPr>
                <w:bCs/>
              </w:rPr>
            </w:pPr>
            <w:r w:rsidRPr="004003E0">
              <w:rPr>
                <w:bCs/>
              </w:rPr>
              <w:t>UK and Channel Islands. Original only. Cannot be online document or printed from online account/PDF</w:t>
            </w:r>
          </w:p>
        </w:tc>
        <w:tc>
          <w:tcPr>
            <w:tcW w:w="0" w:type="auto"/>
            <w:tcBorders>
              <w:bottom w:val="single" w:sz="6" w:space="0" w:color="B1B4B6"/>
            </w:tcBorders>
            <w:shd w:val="clear" w:color="auto" w:fill="FFFFFF"/>
            <w:tcMar>
              <w:top w:w="150" w:type="dxa"/>
              <w:left w:w="0" w:type="dxa"/>
              <w:bottom w:w="150" w:type="dxa"/>
              <w:right w:w="0" w:type="dxa"/>
            </w:tcMar>
            <w:hideMark/>
          </w:tcPr>
          <w:p w14:paraId="4F24ECC6" w14:textId="77777777" w:rsidR="004003E0" w:rsidRPr="004003E0" w:rsidRDefault="004003E0" w:rsidP="004003E0">
            <w:pPr>
              <w:pStyle w:val="next"/>
              <w:spacing w:after="0"/>
              <w:rPr>
                <w:bCs/>
              </w:rPr>
            </w:pPr>
            <w:r w:rsidRPr="004003E0">
              <w:rPr>
                <w:bCs/>
              </w:rPr>
              <w:t>Issued in last 12 months</w:t>
            </w:r>
          </w:p>
        </w:tc>
      </w:tr>
      <w:tr w:rsidR="004003E0" w:rsidRPr="004003E0" w14:paraId="10D64FFE"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445A4B51" w14:textId="77777777" w:rsidR="004003E0" w:rsidRPr="004003E0" w:rsidRDefault="004003E0" w:rsidP="004003E0">
            <w:pPr>
              <w:pStyle w:val="next"/>
              <w:spacing w:after="0"/>
              <w:rPr>
                <w:bCs/>
              </w:rPr>
            </w:pPr>
            <w:r w:rsidRPr="004003E0">
              <w:rPr>
                <w:bCs/>
              </w:rPr>
              <w:t>Council Tax statement</w:t>
            </w:r>
          </w:p>
        </w:tc>
        <w:tc>
          <w:tcPr>
            <w:tcW w:w="0" w:type="auto"/>
            <w:tcBorders>
              <w:bottom w:val="single" w:sz="6" w:space="0" w:color="B1B4B6"/>
            </w:tcBorders>
            <w:shd w:val="clear" w:color="auto" w:fill="FFFFFF"/>
            <w:tcMar>
              <w:top w:w="150" w:type="dxa"/>
              <w:left w:w="0" w:type="dxa"/>
              <w:bottom w:w="150" w:type="dxa"/>
              <w:right w:w="300" w:type="dxa"/>
            </w:tcMar>
            <w:hideMark/>
          </w:tcPr>
          <w:p w14:paraId="57082C01" w14:textId="77777777" w:rsidR="004003E0" w:rsidRPr="004003E0" w:rsidRDefault="004003E0" w:rsidP="004003E0">
            <w:pPr>
              <w:pStyle w:val="next"/>
              <w:spacing w:after="0"/>
              <w:rPr>
                <w:bCs/>
              </w:rPr>
            </w:pPr>
            <w:r w:rsidRPr="004003E0">
              <w:rPr>
                <w:bCs/>
              </w:rPr>
              <w:t>UK and Channel Islands</w:t>
            </w:r>
          </w:p>
        </w:tc>
        <w:tc>
          <w:tcPr>
            <w:tcW w:w="0" w:type="auto"/>
            <w:tcBorders>
              <w:bottom w:val="single" w:sz="6" w:space="0" w:color="B1B4B6"/>
            </w:tcBorders>
            <w:shd w:val="clear" w:color="auto" w:fill="FFFFFF"/>
            <w:tcMar>
              <w:top w:w="150" w:type="dxa"/>
              <w:left w:w="0" w:type="dxa"/>
              <w:bottom w:w="150" w:type="dxa"/>
              <w:right w:w="0" w:type="dxa"/>
            </w:tcMar>
            <w:hideMark/>
          </w:tcPr>
          <w:p w14:paraId="6F8D0A70" w14:textId="77777777" w:rsidR="004003E0" w:rsidRPr="004003E0" w:rsidRDefault="004003E0" w:rsidP="004003E0">
            <w:pPr>
              <w:pStyle w:val="next"/>
              <w:spacing w:after="0"/>
              <w:rPr>
                <w:bCs/>
              </w:rPr>
            </w:pPr>
            <w:r w:rsidRPr="004003E0">
              <w:rPr>
                <w:bCs/>
              </w:rPr>
              <w:t>Issued in last 12 months</w:t>
            </w:r>
          </w:p>
        </w:tc>
      </w:tr>
      <w:tr w:rsidR="004003E0" w:rsidRPr="004003E0" w14:paraId="0755495F"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08C78CEF" w14:textId="77777777" w:rsidR="004003E0" w:rsidRPr="004003E0" w:rsidRDefault="004003E0" w:rsidP="004003E0">
            <w:pPr>
              <w:pStyle w:val="next"/>
              <w:spacing w:after="0"/>
              <w:rPr>
                <w:bCs/>
              </w:rPr>
            </w:pPr>
            <w:r w:rsidRPr="004003E0">
              <w:rPr>
                <w:bCs/>
              </w:rPr>
              <w:t>Letter of sponsorship from future UK employment provider</w:t>
            </w:r>
          </w:p>
        </w:tc>
        <w:tc>
          <w:tcPr>
            <w:tcW w:w="0" w:type="auto"/>
            <w:tcBorders>
              <w:bottom w:val="single" w:sz="6" w:space="0" w:color="B1B4B6"/>
            </w:tcBorders>
            <w:shd w:val="clear" w:color="auto" w:fill="FFFFFF"/>
            <w:tcMar>
              <w:top w:w="150" w:type="dxa"/>
              <w:left w:w="0" w:type="dxa"/>
              <w:bottom w:w="150" w:type="dxa"/>
              <w:right w:w="300" w:type="dxa"/>
            </w:tcMar>
            <w:hideMark/>
          </w:tcPr>
          <w:p w14:paraId="6A764F24" w14:textId="77777777" w:rsidR="004003E0" w:rsidRPr="004003E0" w:rsidRDefault="004003E0" w:rsidP="004003E0">
            <w:pPr>
              <w:pStyle w:val="next"/>
              <w:spacing w:after="0"/>
              <w:rPr>
                <w:bCs/>
              </w:rPr>
            </w:pPr>
            <w:r w:rsidRPr="004003E0">
              <w:rPr>
                <w:bCs/>
              </w:rPr>
              <w:t>Valid only for applicants residing outside of the UK at time of application</w:t>
            </w:r>
          </w:p>
        </w:tc>
        <w:tc>
          <w:tcPr>
            <w:tcW w:w="0" w:type="auto"/>
            <w:tcBorders>
              <w:bottom w:val="single" w:sz="6" w:space="0" w:color="B1B4B6"/>
            </w:tcBorders>
            <w:shd w:val="clear" w:color="auto" w:fill="FFFFFF"/>
            <w:tcMar>
              <w:top w:w="150" w:type="dxa"/>
              <w:left w:w="0" w:type="dxa"/>
              <w:bottom w:w="150" w:type="dxa"/>
              <w:right w:w="0" w:type="dxa"/>
            </w:tcMar>
            <w:hideMark/>
          </w:tcPr>
          <w:p w14:paraId="57C6F942" w14:textId="77777777" w:rsidR="004003E0" w:rsidRPr="004003E0" w:rsidRDefault="004003E0" w:rsidP="004003E0">
            <w:pPr>
              <w:pStyle w:val="next"/>
              <w:spacing w:after="0"/>
              <w:rPr>
                <w:bCs/>
              </w:rPr>
            </w:pPr>
            <w:r w:rsidRPr="004003E0">
              <w:rPr>
                <w:bCs/>
              </w:rPr>
              <w:t>Must still be valid</w:t>
            </w:r>
          </w:p>
        </w:tc>
      </w:tr>
      <w:tr w:rsidR="004003E0" w:rsidRPr="004003E0" w14:paraId="0A17DC24"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6DEC86AB" w14:textId="77777777" w:rsidR="004003E0" w:rsidRPr="004003E0" w:rsidRDefault="004003E0" w:rsidP="004003E0">
            <w:pPr>
              <w:pStyle w:val="next"/>
              <w:spacing w:after="0"/>
              <w:rPr>
                <w:bCs/>
              </w:rPr>
            </w:pPr>
            <w:r w:rsidRPr="004003E0">
              <w:rPr>
                <w:bCs/>
              </w:rPr>
              <w:t>Utility bill</w:t>
            </w:r>
          </w:p>
        </w:tc>
        <w:tc>
          <w:tcPr>
            <w:tcW w:w="0" w:type="auto"/>
            <w:tcBorders>
              <w:bottom w:val="single" w:sz="6" w:space="0" w:color="B1B4B6"/>
            </w:tcBorders>
            <w:shd w:val="clear" w:color="auto" w:fill="FFFFFF"/>
            <w:tcMar>
              <w:top w:w="150" w:type="dxa"/>
              <w:left w:w="0" w:type="dxa"/>
              <w:bottom w:w="150" w:type="dxa"/>
              <w:right w:w="300" w:type="dxa"/>
            </w:tcMar>
            <w:hideMark/>
          </w:tcPr>
          <w:p w14:paraId="25F74110" w14:textId="77777777" w:rsidR="004003E0" w:rsidRPr="004003E0" w:rsidRDefault="004003E0" w:rsidP="004003E0">
            <w:pPr>
              <w:pStyle w:val="next"/>
              <w:spacing w:after="0"/>
              <w:rPr>
                <w:bCs/>
              </w:rPr>
            </w:pPr>
            <w:r w:rsidRPr="004003E0">
              <w:rPr>
                <w:bCs/>
              </w:rPr>
              <w:t>UK - not mobile telephone bill. Cannot be printed from an online account</w:t>
            </w:r>
          </w:p>
        </w:tc>
        <w:tc>
          <w:tcPr>
            <w:tcW w:w="0" w:type="auto"/>
            <w:tcBorders>
              <w:bottom w:val="single" w:sz="6" w:space="0" w:color="B1B4B6"/>
            </w:tcBorders>
            <w:shd w:val="clear" w:color="auto" w:fill="FFFFFF"/>
            <w:tcMar>
              <w:top w:w="150" w:type="dxa"/>
              <w:left w:w="0" w:type="dxa"/>
              <w:bottom w:w="150" w:type="dxa"/>
              <w:right w:w="0" w:type="dxa"/>
            </w:tcMar>
            <w:hideMark/>
          </w:tcPr>
          <w:p w14:paraId="1987CEDE" w14:textId="77777777" w:rsidR="004003E0" w:rsidRPr="004003E0" w:rsidRDefault="004003E0" w:rsidP="004003E0">
            <w:pPr>
              <w:pStyle w:val="next"/>
              <w:spacing w:after="0"/>
              <w:rPr>
                <w:bCs/>
              </w:rPr>
            </w:pPr>
            <w:r w:rsidRPr="004003E0">
              <w:rPr>
                <w:bCs/>
              </w:rPr>
              <w:t>Issued in last 3 months</w:t>
            </w:r>
          </w:p>
        </w:tc>
      </w:tr>
      <w:tr w:rsidR="004003E0" w:rsidRPr="004003E0" w14:paraId="1D2FC8D4"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5064FB1D" w14:textId="77777777" w:rsidR="004003E0" w:rsidRPr="004003E0" w:rsidRDefault="004003E0" w:rsidP="004003E0">
            <w:pPr>
              <w:pStyle w:val="next"/>
              <w:spacing w:after="0"/>
              <w:rPr>
                <w:bCs/>
              </w:rPr>
            </w:pPr>
            <w:r w:rsidRPr="004003E0">
              <w:rPr>
                <w:bCs/>
              </w:rPr>
              <w:t>Benefit statement, for example Child Benefit, State Pension</w:t>
            </w:r>
          </w:p>
        </w:tc>
        <w:tc>
          <w:tcPr>
            <w:tcW w:w="0" w:type="auto"/>
            <w:tcBorders>
              <w:bottom w:val="single" w:sz="6" w:space="0" w:color="B1B4B6"/>
            </w:tcBorders>
            <w:shd w:val="clear" w:color="auto" w:fill="FFFFFF"/>
            <w:tcMar>
              <w:top w:w="150" w:type="dxa"/>
              <w:left w:w="0" w:type="dxa"/>
              <w:bottom w:w="150" w:type="dxa"/>
              <w:right w:w="300" w:type="dxa"/>
            </w:tcMar>
            <w:hideMark/>
          </w:tcPr>
          <w:p w14:paraId="4D025D8D" w14:textId="77777777" w:rsidR="004003E0" w:rsidRPr="004003E0" w:rsidRDefault="004003E0" w:rsidP="004003E0">
            <w:pPr>
              <w:pStyle w:val="next"/>
              <w:spacing w:after="0"/>
              <w:rPr>
                <w:bCs/>
              </w:rPr>
            </w:pPr>
            <w:r w:rsidRPr="004003E0">
              <w:rPr>
                <w:bCs/>
              </w:rPr>
              <w:t>UK</w:t>
            </w:r>
          </w:p>
        </w:tc>
        <w:tc>
          <w:tcPr>
            <w:tcW w:w="0" w:type="auto"/>
            <w:tcBorders>
              <w:bottom w:val="single" w:sz="6" w:space="0" w:color="B1B4B6"/>
            </w:tcBorders>
            <w:shd w:val="clear" w:color="auto" w:fill="FFFFFF"/>
            <w:tcMar>
              <w:top w:w="150" w:type="dxa"/>
              <w:left w:w="0" w:type="dxa"/>
              <w:bottom w:w="150" w:type="dxa"/>
              <w:right w:w="0" w:type="dxa"/>
            </w:tcMar>
            <w:hideMark/>
          </w:tcPr>
          <w:p w14:paraId="6ECBD824" w14:textId="77777777" w:rsidR="004003E0" w:rsidRPr="004003E0" w:rsidRDefault="004003E0" w:rsidP="004003E0">
            <w:pPr>
              <w:pStyle w:val="next"/>
              <w:spacing w:after="0"/>
              <w:rPr>
                <w:bCs/>
              </w:rPr>
            </w:pPr>
            <w:r w:rsidRPr="004003E0">
              <w:rPr>
                <w:bCs/>
              </w:rPr>
              <w:t>Issued in last 12 months</w:t>
            </w:r>
          </w:p>
        </w:tc>
      </w:tr>
      <w:tr w:rsidR="004003E0" w:rsidRPr="004003E0" w14:paraId="3882E339"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4D382849" w14:textId="77777777" w:rsidR="004003E0" w:rsidRPr="004003E0" w:rsidRDefault="004003E0" w:rsidP="004003E0">
            <w:pPr>
              <w:pStyle w:val="next"/>
              <w:spacing w:after="0"/>
              <w:rPr>
                <w:bCs/>
              </w:rPr>
            </w:pPr>
            <w:r w:rsidRPr="004003E0">
              <w:rPr>
                <w:bCs/>
              </w:rPr>
              <w:t>Central or local government, government agency, or local council document giving entitlement, for example from the Department for Work and Pensions, the Employment Service, Local Authority</w:t>
            </w:r>
          </w:p>
        </w:tc>
        <w:tc>
          <w:tcPr>
            <w:tcW w:w="0" w:type="auto"/>
            <w:tcBorders>
              <w:bottom w:val="single" w:sz="6" w:space="0" w:color="B1B4B6"/>
            </w:tcBorders>
            <w:shd w:val="clear" w:color="auto" w:fill="FFFFFF"/>
            <w:tcMar>
              <w:top w:w="150" w:type="dxa"/>
              <w:left w:w="0" w:type="dxa"/>
              <w:bottom w:w="150" w:type="dxa"/>
              <w:right w:w="300" w:type="dxa"/>
            </w:tcMar>
            <w:hideMark/>
          </w:tcPr>
          <w:p w14:paraId="7E6E45FE" w14:textId="77777777" w:rsidR="004003E0" w:rsidRPr="004003E0" w:rsidRDefault="004003E0" w:rsidP="004003E0">
            <w:pPr>
              <w:pStyle w:val="next"/>
              <w:spacing w:after="0"/>
              <w:rPr>
                <w:bCs/>
              </w:rPr>
            </w:pPr>
            <w:r w:rsidRPr="004003E0">
              <w:rPr>
                <w:bCs/>
              </w:rPr>
              <w:t>UK and Channel Islands – a letter confirming entitlement to benefits. For example: Personal Independence Payment (PIP), free school meals, universal credit, asylum support etc</w:t>
            </w:r>
          </w:p>
        </w:tc>
        <w:tc>
          <w:tcPr>
            <w:tcW w:w="0" w:type="auto"/>
            <w:tcBorders>
              <w:bottom w:val="single" w:sz="6" w:space="0" w:color="B1B4B6"/>
            </w:tcBorders>
            <w:shd w:val="clear" w:color="auto" w:fill="FFFFFF"/>
            <w:tcMar>
              <w:top w:w="150" w:type="dxa"/>
              <w:left w:w="0" w:type="dxa"/>
              <w:bottom w:w="150" w:type="dxa"/>
              <w:right w:w="0" w:type="dxa"/>
            </w:tcMar>
            <w:hideMark/>
          </w:tcPr>
          <w:p w14:paraId="67801A6E" w14:textId="77777777" w:rsidR="004003E0" w:rsidRPr="004003E0" w:rsidRDefault="004003E0" w:rsidP="004003E0">
            <w:pPr>
              <w:pStyle w:val="next"/>
              <w:spacing w:after="0"/>
              <w:rPr>
                <w:bCs/>
              </w:rPr>
            </w:pPr>
            <w:r w:rsidRPr="004003E0">
              <w:rPr>
                <w:bCs/>
              </w:rPr>
              <w:t>Issued in last 12 months</w:t>
            </w:r>
          </w:p>
        </w:tc>
      </w:tr>
      <w:tr w:rsidR="004003E0" w:rsidRPr="004003E0" w14:paraId="7390D143"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1053E5D1" w14:textId="77777777" w:rsidR="004003E0" w:rsidRPr="004003E0" w:rsidRDefault="004003E0" w:rsidP="004003E0">
            <w:pPr>
              <w:pStyle w:val="next"/>
              <w:spacing w:after="0"/>
              <w:rPr>
                <w:bCs/>
              </w:rPr>
            </w:pPr>
            <w:r w:rsidRPr="004003E0">
              <w:rPr>
                <w:bCs/>
              </w:rPr>
              <w:t xml:space="preserve">HMRC self-assessment letters or tax demand </w:t>
            </w:r>
            <w:proofErr w:type="gramStart"/>
            <w:r w:rsidRPr="004003E0">
              <w:rPr>
                <w:bCs/>
              </w:rPr>
              <w:t>letter</w:t>
            </w:r>
            <w:proofErr w:type="gramEnd"/>
          </w:p>
        </w:tc>
        <w:tc>
          <w:tcPr>
            <w:tcW w:w="0" w:type="auto"/>
            <w:tcBorders>
              <w:bottom w:val="single" w:sz="6" w:space="0" w:color="B1B4B6"/>
            </w:tcBorders>
            <w:shd w:val="clear" w:color="auto" w:fill="FFFFFF"/>
            <w:tcMar>
              <w:top w:w="150" w:type="dxa"/>
              <w:left w:w="0" w:type="dxa"/>
              <w:bottom w:w="150" w:type="dxa"/>
              <w:right w:w="300" w:type="dxa"/>
            </w:tcMar>
            <w:hideMark/>
          </w:tcPr>
          <w:p w14:paraId="7DA429CF" w14:textId="77777777" w:rsidR="004003E0" w:rsidRPr="004003E0" w:rsidRDefault="004003E0" w:rsidP="004003E0">
            <w:pPr>
              <w:pStyle w:val="next"/>
              <w:spacing w:after="0"/>
              <w:rPr>
                <w:bCs/>
              </w:rPr>
            </w:pPr>
            <w:r w:rsidRPr="004003E0">
              <w:rPr>
                <w:bCs/>
              </w:rPr>
              <w:t>UK</w:t>
            </w:r>
          </w:p>
        </w:tc>
        <w:tc>
          <w:tcPr>
            <w:tcW w:w="0" w:type="auto"/>
            <w:tcBorders>
              <w:bottom w:val="single" w:sz="6" w:space="0" w:color="B1B4B6"/>
            </w:tcBorders>
            <w:shd w:val="clear" w:color="auto" w:fill="FFFFFF"/>
            <w:tcMar>
              <w:top w:w="150" w:type="dxa"/>
              <w:left w:w="0" w:type="dxa"/>
              <w:bottom w:w="150" w:type="dxa"/>
              <w:right w:w="0" w:type="dxa"/>
            </w:tcMar>
            <w:hideMark/>
          </w:tcPr>
          <w:p w14:paraId="1DE4F4D2" w14:textId="77777777" w:rsidR="004003E0" w:rsidRPr="004003E0" w:rsidRDefault="004003E0" w:rsidP="004003E0">
            <w:pPr>
              <w:pStyle w:val="next"/>
              <w:spacing w:after="0"/>
              <w:rPr>
                <w:bCs/>
              </w:rPr>
            </w:pPr>
            <w:r w:rsidRPr="004003E0">
              <w:rPr>
                <w:bCs/>
              </w:rPr>
              <w:t>Issued in last 12 months</w:t>
            </w:r>
          </w:p>
        </w:tc>
      </w:tr>
      <w:tr w:rsidR="004003E0" w:rsidRPr="004003E0" w14:paraId="58C37106"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15B8E14B" w14:textId="77777777" w:rsidR="004003E0" w:rsidRPr="004003E0" w:rsidRDefault="004003E0" w:rsidP="004003E0">
            <w:pPr>
              <w:pStyle w:val="next"/>
              <w:spacing w:after="0"/>
              <w:rPr>
                <w:bCs/>
              </w:rPr>
            </w:pPr>
            <w:r w:rsidRPr="004003E0">
              <w:rPr>
                <w:bCs/>
              </w:rPr>
              <w:t>European Health Insurance Card (EHIC) or Global Health Insurance Card (GHIC)</w:t>
            </w:r>
          </w:p>
        </w:tc>
        <w:tc>
          <w:tcPr>
            <w:tcW w:w="0" w:type="auto"/>
            <w:tcBorders>
              <w:bottom w:val="single" w:sz="6" w:space="0" w:color="B1B4B6"/>
            </w:tcBorders>
            <w:shd w:val="clear" w:color="auto" w:fill="FFFFFF"/>
            <w:tcMar>
              <w:top w:w="150" w:type="dxa"/>
              <w:left w:w="0" w:type="dxa"/>
              <w:bottom w:w="150" w:type="dxa"/>
              <w:right w:w="300" w:type="dxa"/>
            </w:tcMar>
            <w:hideMark/>
          </w:tcPr>
          <w:p w14:paraId="70A7A7BA" w14:textId="77777777" w:rsidR="004003E0" w:rsidRPr="004003E0" w:rsidRDefault="004003E0" w:rsidP="004003E0">
            <w:pPr>
              <w:pStyle w:val="next"/>
              <w:spacing w:after="0"/>
              <w:rPr>
                <w:bCs/>
              </w:rPr>
            </w:pPr>
            <w:r w:rsidRPr="004003E0">
              <w:rPr>
                <w:bCs/>
              </w:rPr>
              <w:t>UK.</w:t>
            </w:r>
          </w:p>
        </w:tc>
        <w:tc>
          <w:tcPr>
            <w:tcW w:w="0" w:type="auto"/>
            <w:tcBorders>
              <w:bottom w:val="single" w:sz="6" w:space="0" w:color="B1B4B6"/>
            </w:tcBorders>
            <w:shd w:val="clear" w:color="auto" w:fill="FFFFFF"/>
            <w:tcMar>
              <w:top w:w="150" w:type="dxa"/>
              <w:left w:w="0" w:type="dxa"/>
              <w:bottom w:w="150" w:type="dxa"/>
              <w:right w:w="0" w:type="dxa"/>
            </w:tcMar>
            <w:hideMark/>
          </w:tcPr>
          <w:p w14:paraId="6ADA6E39" w14:textId="77777777" w:rsidR="004003E0" w:rsidRPr="004003E0" w:rsidRDefault="004003E0" w:rsidP="004003E0">
            <w:pPr>
              <w:pStyle w:val="next"/>
              <w:spacing w:after="0"/>
              <w:rPr>
                <w:bCs/>
              </w:rPr>
            </w:pPr>
            <w:r w:rsidRPr="004003E0">
              <w:rPr>
                <w:bCs/>
              </w:rPr>
              <w:t>Must still be valid</w:t>
            </w:r>
          </w:p>
        </w:tc>
      </w:tr>
      <w:tr w:rsidR="004003E0" w:rsidRPr="004003E0" w14:paraId="308841E6"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5CD3D7CF" w14:textId="77777777" w:rsidR="004003E0" w:rsidRPr="004003E0" w:rsidRDefault="004003E0" w:rsidP="004003E0">
            <w:pPr>
              <w:pStyle w:val="next"/>
              <w:spacing w:after="0"/>
              <w:rPr>
                <w:bCs/>
              </w:rPr>
            </w:pPr>
            <w:r w:rsidRPr="004003E0">
              <w:rPr>
                <w:bCs/>
              </w:rPr>
              <w:t>EEA National ID card</w:t>
            </w:r>
          </w:p>
        </w:tc>
        <w:tc>
          <w:tcPr>
            <w:tcW w:w="0" w:type="auto"/>
            <w:tcBorders>
              <w:bottom w:val="single" w:sz="6" w:space="0" w:color="B1B4B6"/>
            </w:tcBorders>
            <w:shd w:val="clear" w:color="auto" w:fill="FFFFFF"/>
            <w:tcMar>
              <w:top w:w="150" w:type="dxa"/>
              <w:left w:w="0" w:type="dxa"/>
              <w:bottom w:w="150" w:type="dxa"/>
              <w:right w:w="300" w:type="dxa"/>
            </w:tcMar>
            <w:hideMark/>
          </w:tcPr>
          <w:p w14:paraId="460AF7DE" w14:textId="77777777" w:rsidR="004003E0" w:rsidRPr="004003E0" w:rsidRDefault="004003E0" w:rsidP="004003E0">
            <w:pPr>
              <w:pStyle w:val="next"/>
              <w:spacing w:after="0"/>
              <w:rPr>
                <w:bCs/>
              </w:rPr>
            </w:pPr>
            <w:r w:rsidRPr="004003E0">
              <w:rPr>
                <w:bCs/>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2DD3C70E" w14:textId="77777777" w:rsidR="004003E0" w:rsidRPr="004003E0" w:rsidRDefault="004003E0" w:rsidP="004003E0">
            <w:pPr>
              <w:pStyle w:val="next"/>
              <w:spacing w:after="0"/>
              <w:rPr>
                <w:bCs/>
              </w:rPr>
            </w:pPr>
            <w:r w:rsidRPr="004003E0">
              <w:rPr>
                <w:bCs/>
              </w:rPr>
              <w:t>Must still be valid</w:t>
            </w:r>
          </w:p>
        </w:tc>
      </w:tr>
      <w:tr w:rsidR="004003E0" w:rsidRPr="004003E0" w14:paraId="5BEB8E7C"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7654D7EA" w14:textId="77777777" w:rsidR="004003E0" w:rsidRPr="004003E0" w:rsidRDefault="004003E0" w:rsidP="004003E0">
            <w:pPr>
              <w:pStyle w:val="next"/>
              <w:spacing w:after="0"/>
              <w:rPr>
                <w:bCs/>
              </w:rPr>
            </w:pPr>
            <w:r w:rsidRPr="004003E0">
              <w:rPr>
                <w:bCs/>
              </w:rPr>
              <w:t>Irish Passport Card</w:t>
            </w:r>
          </w:p>
        </w:tc>
        <w:tc>
          <w:tcPr>
            <w:tcW w:w="0" w:type="auto"/>
            <w:tcBorders>
              <w:bottom w:val="single" w:sz="6" w:space="0" w:color="B1B4B6"/>
            </w:tcBorders>
            <w:shd w:val="clear" w:color="auto" w:fill="FFFFFF"/>
            <w:tcMar>
              <w:top w:w="150" w:type="dxa"/>
              <w:left w:w="0" w:type="dxa"/>
              <w:bottom w:w="150" w:type="dxa"/>
              <w:right w:w="300" w:type="dxa"/>
            </w:tcMar>
            <w:hideMark/>
          </w:tcPr>
          <w:p w14:paraId="2FEC112A" w14:textId="77777777" w:rsidR="004003E0" w:rsidRPr="004003E0" w:rsidRDefault="004003E0" w:rsidP="004003E0">
            <w:pPr>
              <w:pStyle w:val="next"/>
              <w:spacing w:after="0"/>
              <w:rPr>
                <w:bCs/>
              </w:rPr>
            </w:pPr>
            <w:r w:rsidRPr="004003E0">
              <w:rPr>
                <w:bCs/>
              </w:rPr>
              <w:t>Cannot be used with an Irish passport</w:t>
            </w:r>
          </w:p>
        </w:tc>
        <w:tc>
          <w:tcPr>
            <w:tcW w:w="0" w:type="auto"/>
            <w:tcBorders>
              <w:bottom w:val="single" w:sz="6" w:space="0" w:color="B1B4B6"/>
            </w:tcBorders>
            <w:shd w:val="clear" w:color="auto" w:fill="FFFFFF"/>
            <w:tcMar>
              <w:top w:w="150" w:type="dxa"/>
              <w:left w:w="0" w:type="dxa"/>
              <w:bottom w:w="150" w:type="dxa"/>
              <w:right w:w="0" w:type="dxa"/>
            </w:tcMar>
            <w:hideMark/>
          </w:tcPr>
          <w:p w14:paraId="0E5B3421" w14:textId="77777777" w:rsidR="004003E0" w:rsidRPr="004003E0" w:rsidRDefault="004003E0" w:rsidP="004003E0">
            <w:pPr>
              <w:pStyle w:val="next"/>
              <w:spacing w:after="0"/>
              <w:rPr>
                <w:bCs/>
              </w:rPr>
            </w:pPr>
            <w:r w:rsidRPr="004003E0">
              <w:rPr>
                <w:bCs/>
              </w:rPr>
              <w:t>Must still be valid</w:t>
            </w:r>
          </w:p>
        </w:tc>
      </w:tr>
      <w:tr w:rsidR="004003E0" w:rsidRPr="004003E0" w14:paraId="3E66C793"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76C6033C" w14:textId="77777777" w:rsidR="004003E0" w:rsidRPr="004003E0" w:rsidRDefault="004003E0" w:rsidP="004003E0">
            <w:pPr>
              <w:pStyle w:val="next"/>
              <w:spacing w:after="0"/>
              <w:rPr>
                <w:bCs/>
              </w:rPr>
            </w:pPr>
            <w:r w:rsidRPr="004003E0">
              <w:rPr>
                <w:bCs/>
              </w:rPr>
              <w:t>Cards carrying the PASS accreditation logo</w:t>
            </w:r>
          </w:p>
        </w:tc>
        <w:tc>
          <w:tcPr>
            <w:tcW w:w="0" w:type="auto"/>
            <w:tcBorders>
              <w:bottom w:val="single" w:sz="6" w:space="0" w:color="B1B4B6"/>
            </w:tcBorders>
            <w:shd w:val="clear" w:color="auto" w:fill="FFFFFF"/>
            <w:tcMar>
              <w:top w:w="150" w:type="dxa"/>
              <w:left w:w="0" w:type="dxa"/>
              <w:bottom w:w="150" w:type="dxa"/>
              <w:right w:w="300" w:type="dxa"/>
            </w:tcMar>
            <w:hideMark/>
          </w:tcPr>
          <w:p w14:paraId="25770CFC" w14:textId="77777777" w:rsidR="004003E0" w:rsidRPr="004003E0" w:rsidRDefault="004003E0" w:rsidP="004003E0">
            <w:pPr>
              <w:pStyle w:val="next"/>
              <w:spacing w:after="0"/>
              <w:rPr>
                <w:bCs/>
              </w:rPr>
            </w:pPr>
            <w:r w:rsidRPr="004003E0">
              <w:rPr>
                <w:bCs/>
              </w:rPr>
              <w:t>UK, Isle of Man, and Channel Islands. Digital PASS cards are acceptable where they have been issued by an approved digital PASS provider and the QR code has been used to confirm details.</w:t>
            </w:r>
          </w:p>
        </w:tc>
        <w:tc>
          <w:tcPr>
            <w:tcW w:w="0" w:type="auto"/>
            <w:tcBorders>
              <w:bottom w:val="single" w:sz="6" w:space="0" w:color="B1B4B6"/>
            </w:tcBorders>
            <w:shd w:val="clear" w:color="auto" w:fill="FFFFFF"/>
            <w:tcMar>
              <w:top w:w="150" w:type="dxa"/>
              <w:left w:w="0" w:type="dxa"/>
              <w:bottom w:w="150" w:type="dxa"/>
              <w:right w:w="0" w:type="dxa"/>
            </w:tcMar>
            <w:hideMark/>
          </w:tcPr>
          <w:p w14:paraId="6339E082" w14:textId="77777777" w:rsidR="004003E0" w:rsidRPr="004003E0" w:rsidRDefault="004003E0" w:rsidP="004003E0">
            <w:pPr>
              <w:pStyle w:val="next"/>
              <w:spacing w:after="0"/>
              <w:rPr>
                <w:bCs/>
              </w:rPr>
            </w:pPr>
            <w:r w:rsidRPr="004003E0">
              <w:rPr>
                <w:bCs/>
              </w:rPr>
              <w:t>Must still be valid</w:t>
            </w:r>
          </w:p>
        </w:tc>
      </w:tr>
      <w:tr w:rsidR="004003E0" w:rsidRPr="004003E0" w14:paraId="0CD7C4CC" w14:textId="77777777" w:rsidTr="004003E0">
        <w:tc>
          <w:tcPr>
            <w:tcW w:w="0" w:type="auto"/>
            <w:tcBorders>
              <w:bottom w:val="single" w:sz="6" w:space="0" w:color="B1B4B6"/>
            </w:tcBorders>
            <w:shd w:val="clear" w:color="auto" w:fill="FFFFFF"/>
            <w:tcMar>
              <w:top w:w="150" w:type="dxa"/>
              <w:left w:w="0" w:type="dxa"/>
              <w:bottom w:w="150" w:type="dxa"/>
              <w:right w:w="300" w:type="dxa"/>
            </w:tcMar>
            <w:hideMark/>
          </w:tcPr>
          <w:p w14:paraId="08031EE8" w14:textId="77777777" w:rsidR="004003E0" w:rsidRPr="004003E0" w:rsidRDefault="004003E0" w:rsidP="004003E0">
            <w:pPr>
              <w:pStyle w:val="next"/>
              <w:spacing w:after="0"/>
              <w:rPr>
                <w:bCs/>
              </w:rPr>
            </w:pPr>
            <w:r w:rsidRPr="004003E0">
              <w:rPr>
                <w:bCs/>
              </w:rPr>
              <w:lastRenderedPageBreak/>
              <w:t>Letter from head teacher, college principal, apprenticeship provider</w:t>
            </w:r>
          </w:p>
        </w:tc>
        <w:tc>
          <w:tcPr>
            <w:tcW w:w="0" w:type="auto"/>
            <w:tcBorders>
              <w:bottom w:val="single" w:sz="6" w:space="0" w:color="B1B4B6"/>
            </w:tcBorders>
            <w:shd w:val="clear" w:color="auto" w:fill="FFFFFF"/>
            <w:tcMar>
              <w:top w:w="150" w:type="dxa"/>
              <w:left w:w="0" w:type="dxa"/>
              <w:bottom w:w="150" w:type="dxa"/>
              <w:right w:w="300" w:type="dxa"/>
            </w:tcMar>
            <w:hideMark/>
          </w:tcPr>
          <w:p w14:paraId="7AC56F36" w14:textId="77777777" w:rsidR="004003E0" w:rsidRPr="004003E0" w:rsidRDefault="004003E0" w:rsidP="004003E0">
            <w:pPr>
              <w:pStyle w:val="next"/>
              <w:spacing w:after="0"/>
              <w:rPr>
                <w:bCs/>
              </w:rPr>
            </w:pPr>
            <w:r w:rsidRPr="004003E0">
              <w:rPr>
                <w:bCs/>
              </w:rPr>
              <w:t xml:space="preserve">UK - for </w:t>
            </w:r>
            <w:proofErr w:type="gramStart"/>
            <w:r w:rsidRPr="004003E0">
              <w:rPr>
                <w:bCs/>
              </w:rPr>
              <w:t>16 to 19 year olds</w:t>
            </w:r>
            <w:proofErr w:type="gramEnd"/>
            <w:r w:rsidRPr="004003E0">
              <w:rPr>
                <w:bCs/>
              </w:rPr>
              <w:t xml:space="preserve"> in full time education or on an apprenticeship - only used in exceptional circumstances if other documents cannot be provided</w:t>
            </w:r>
          </w:p>
        </w:tc>
        <w:tc>
          <w:tcPr>
            <w:tcW w:w="0" w:type="auto"/>
            <w:tcBorders>
              <w:bottom w:val="single" w:sz="6" w:space="0" w:color="B1B4B6"/>
            </w:tcBorders>
            <w:shd w:val="clear" w:color="auto" w:fill="FFFFFF"/>
            <w:tcMar>
              <w:top w:w="150" w:type="dxa"/>
              <w:left w:w="0" w:type="dxa"/>
              <w:bottom w:w="150" w:type="dxa"/>
              <w:right w:w="0" w:type="dxa"/>
            </w:tcMar>
            <w:hideMark/>
          </w:tcPr>
          <w:p w14:paraId="03486F05" w14:textId="77777777" w:rsidR="004003E0" w:rsidRPr="004003E0" w:rsidRDefault="004003E0" w:rsidP="004003E0">
            <w:pPr>
              <w:pStyle w:val="next"/>
              <w:spacing w:after="0"/>
              <w:rPr>
                <w:bCs/>
              </w:rPr>
            </w:pPr>
            <w:r w:rsidRPr="004003E0">
              <w:rPr>
                <w:bCs/>
              </w:rPr>
              <w:t>Issued in the last month</w:t>
            </w:r>
          </w:p>
        </w:tc>
      </w:tr>
    </w:tbl>
    <w:p w14:paraId="7AE2D968" w14:textId="77777777" w:rsidR="004003E0" w:rsidRDefault="004003E0" w:rsidP="004003E0">
      <w:pPr>
        <w:pStyle w:val="next"/>
        <w:spacing w:after="0"/>
        <w:rPr>
          <w:b/>
          <w:bCs/>
        </w:rPr>
      </w:pPr>
    </w:p>
    <w:p w14:paraId="4CA57F82" w14:textId="16815692" w:rsidR="004003E0" w:rsidRDefault="004003E0" w:rsidP="004003E0">
      <w:pPr>
        <w:pStyle w:val="next"/>
        <w:spacing w:after="0"/>
        <w:rPr>
          <w:b/>
          <w:bCs/>
        </w:rPr>
      </w:pPr>
      <w:r w:rsidRPr="004003E0">
        <w:rPr>
          <w:b/>
          <w:bCs/>
        </w:rPr>
        <w:t>What if the applicant’s identity cannot be established using one of the three routes?</w:t>
      </w:r>
    </w:p>
    <w:p w14:paraId="4F6293FC" w14:textId="77777777" w:rsidR="004003E0" w:rsidRPr="004003E0" w:rsidRDefault="004003E0" w:rsidP="004003E0">
      <w:pPr>
        <w:pStyle w:val="next"/>
        <w:spacing w:after="0"/>
        <w:rPr>
          <w:b/>
          <w:bCs/>
        </w:rPr>
      </w:pPr>
    </w:p>
    <w:p w14:paraId="04196DF2" w14:textId="77777777" w:rsidR="004003E0" w:rsidRDefault="004003E0" w:rsidP="004003E0">
      <w:pPr>
        <w:pStyle w:val="next"/>
        <w:spacing w:after="0"/>
        <w:rPr>
          <w:bCs/>
        </w:rPr>
      </w:pPr>
      <w:r w:rsidRPr="004003E0">
        <w:rPr>
          <w:bCs/>
        </w:rPr>
        <w:t>If you or your ID checker cannot establish an applicant’s identity in accordance with DBS ID guidelines, then you should mark W59 on the application form with a NO. </w:t>
      </w:r>
    </w:p>
    <w:p w14:paraId="4779DE7B" w14:textId="77777777" w:rsidR="004003E0" w:rsidRPr="004003E0" w:rsidRDefault="004003E0" w:rsidP="004003E0">
      <w:pPr>
        <w:pStyle w:val="next"/>
        <w:spacing w:after="0"/>
        <w:rPr>
          <w:bCs/>
        </w:rPr>
      </w:pPr>
    </w:p>
    <w:p w14:paraId="5E9B8B4B" w14:textId="77777777" w:rsidR="004003E0" w:rsidRDefault="004003E0" w:rsidP="004003E0">
      <w:pPr>
        <w:pStyle w:val="next"/>
        <w:spacing w:after="0"/>
        <w:rPr>
          <w:bCs/>
        </w:rPr>
      </w:pPr>
      <w:r w:rsidRPr="004003E0">
        <w:rPr>
          <w:bCs/>
        </w:rPr>
        <w:t>Applicants who are unable to provide the required documents will then be asked to give their consent to have their fingerprints taken in line with the current procedure. Employers should note this will require attendance by the applicant at a police station at an appointed time and may add delay to the overall application process. </w:t>
      </w:r>
    </w:p>
    <w:p w14:paraId="55C8C512" w14:textId="77777777" w:rsidR="004003E0" w:rsidRPr="004003E0" w:rsidRDefault="004003E0" w:rsidP="004003E0">
      <w:pPr>
        <w:pStyle w:val="next"/>
        <w:spacing w:after="0"/>
        <w:rPr>
          <w:bCs/>
        </w:rPr>
      </w:pPr>
    </w:p>
    <w:p w14:paraId="103BA6CC" w14:textId="77777777" w:rsidR="004003E0" w:rsidRPr="004003E0" w:rsidRDefault="004003E0" w:rsidP="004003E0">
      <w:pPr>
        <w:pStyle w:val="next"/>
        <w:spacing w:after="0"/>
        <w:rPr>
          <w:bCs/>
        </w:rPr>
      </w:pPr>
      <w:r w:rsidRPr="004003E0">
        <w:rPr>
          <w:bCs/>
        </w:rPr>
        <w:t>This process does not validate identity, it simply confirms whether the individuals’ fingerprints are held on the central record.</w:t>
      </w:r>
    </w:p>
    <w:p w14:paraId="769B35EA" w14:textId="77777777" w:rsidR="000A43F9" w:rsidRDefault="000A43F9" w:rsidP="00363F3E">
      <w:pPr>
        <w:pStyle w:val="next"/>
        <w:spacing w:after="0"/>
        <w:rPr>
          <w:bCs/>
          <w:szCs w:val="24"/>
        </w:rPr>
      </w:pPr>
    </w:p>
    <w:p w14:paraId="5E429C78" w14:textId="77777777" w:rsidR="000A43F9" w:rsidRDefault="000A43F9" w:rsidP="00363F3E">
      <w:pPr>
        <w:pStyle w:val="next"/>
        <w:spacing w:after="0"/>
        <w:rPr>
          <w:bCs/>
          <w:szCs w:val="24"/>
        </w:rPr>
      </w:pPr>
    </w:p>
    <w:p w14:paraId="1FF0C843" w14:textId="77777777" w:rsidR="000A43F9" w:rsidRDefault="000A43F9" w:rsidP="00363F3E">
      <w:pPr>
        <w:pStyle w:val="next"/>
        <w:spacing w:after="0"/>
        <w:rPr>
          <w:bCs/>
          <w:szCs w:val="24"/>
        </w:rPr>
      </w:pPr>
    </w:p>
    <w:p w14:paraId="630F2AA3" w14:textId="77777777" w:rsidR="000A43F9" w:rsidRDefault="000A43F9" w:rsidP="00363F3E">
      <w:pPr>
        <w:pStyle w:val="next"/>
        <w:spacing w:after="0"/>
        <w:rPr>
          <w:bCs/>
          <w:szCs w:val="24"/>
        </w:rPr>
      </w:pPr>
    </w:p>
    <w:p w14:paraId="12AC80C1" w14:textId="77777777" w:rsidR="004003E0" w:rsidRDefault="004003E0" w:rsidP="00363F3E">
      <w:pPr>
        <w:pStyle w:val="next"/>
        <w:spacing w:after="0"/>
        <w:rPr>
          <w:bCs/>
          <w:szCs w:val="24"/>
        </w:rPr>
      </w:pPr>
    </w:p>
    <w:p w14:paraId="2E3C4DF4" w14:textId="77777777" w:rsidR="004003E0" w:rsidRDefault="004003E0" w:rsidP="00363F3E">
      <w:pPr>
        <w:pStyle w:val="next"/>
        <w:spacing w:after="0"/>
        <w:rPr>
          <w:bCs/>
          <w:szCs w:val="24"/>
        </w:rPr>
      </w:pPr>
    </w:p>
    <w:p w14:paraId="17ACAF99" w14:textId="77777777" w:rsidR="004003E0" w:rsidRDefault="004003E0" w:rsidP="00363F3E">
      <w:pPr>
        <w:pStyle w:val="next"/>
        <w:spacing w:after="0"/>
        <w:rPr>
          <w:bCs/>
          <w:szCs w:val="24"/>
        </w:rPr>
      </w:pPr>
    </w:p>
    <w:p w14:paraId="68CE112B" w14:textId="77777777" w:rsidR="004003E0" w:rsidRDefault="004003E0" w:rsidP="00363F3E">
      <w:pPr>
        <w:pStyle w:val="next"/>
        <w:spacing w:after="0"/>
        <w:rPr>
          <w:bCs/>
          <w:szCs w:val="24"/>
        </w:rPr>
      </w:pPr>
    </w:p>
    <w:p w14:paraId="6A531043" w14:textId="77777777" w:rsidR="004003E0" w:rsidRDefault="004003E0" w:rsidP="00363F3E">
      <w:pPr>
        <w:pStyle w:val="next"/>
        <w:spacing w:after="0"/>
        <w:rPr>
          <w:bCs/>
          <w:szCs w:val="24"/>
        </w:rPr>
      </w:pPr>
    </w:p>
    <w:p w14:paraId="16EAD2E2" w14:textId="77777777" w:rsidR="004003E0" w:rsidRDefault="004003E0" w:rsidP="00363F3E">
      <w:pPr>
        <w:pStyle w:val="next"/>
        <w:spacing w:after="0"/>
        <w:rPr>
          <w:bCs/>
          <w:szCs w:val="24"/>
        </w:rPr>
      </w:pPr>
    </w:p>
    <w:p w14:paraId="7257DC42" w14:textId="77777777" w:rsidR="004003E0" w:rsidRDefault="004003E0" w:rsidP="00363F3E">
      <w:pPr>
        <w:pStyle w:val="next"/>
        <w:spacing w:after="0"/>
        <w:rPr>
          <w:bCs/>
          <w:szCs w:val="24"/>
        </w:rPr>
      </w:pPr>
    </w:p>
    <w:p w14:paraId="1CAAB43E" w14:textId="77777777" w:rsidR="004003E0" w:rsidRDefault="004003E0" w:rsidP="00363F3E">
      <w:pPr>
        <w:pStyle w:val="next"/>
        <w:spacing w:after="0"/>
        <w:rPr>
          <w:bCs/>
          <w:szCs w:val="24"/>
        </w:rPr>
      </w:pPr>
    </w:p>
    <w:p w14:paraId="0BCBBE9D" w14:textId="77777777" w:rsidR="004003E0" w:rsidRDefault="004003E0" w:rsidP="00363F3E">
      <w:pPr>
        <w:pStyle w:val="next"/>
        <w:spacing w:after="0"/>
        <w:rPr>
          <w:bCs/>
          <w:szCs w:val="24"/>
        </w:rPr>
      </w:pPr>
    </w:p>
    <w:p w14:paraId="48EFCA14" w14:textId="77777777" w:rsidR="004003E0" w:rsidRDefault="004003E0" w:rsidP="00363F3E">
      <w:pPr>
        <w:pStyle w:val="next"/>
        <w:spacing w:after="0"/>
        <w:rPr>
          <w:bCs/>
          <w:szCs w:val="24"/>
        </w:rPr>
      </w:pPr>
    </w:p>
    <w:p w14:paraId="4E84148E" w14:textId="77777777" w:rsidR="004003E0" w:rsidRDefault="004003E0" w:rsidP="00363F3E">
      <w:pPr>
        <w:pStyle w:val="next"/>
        <w:spacing w:after="0"/>
        <w:rPr>
          <w:bCs/>
          <w:szCs w:val="24"/>
        </w:rPr>
      </w:pPr>
    </w:p>
    <w:p w14:paraId="1C8A70A4" w14:textId="77777777" w:rsidR="004003E0" w:rsidRDefault="004003E0" w:rsidP="00363F3E">
      <w:pPr>
        <w:pStyle w:val="next"/>
        <w:spacing w:after="0"/>
        <w:rPr>
          <w:bCs/>
          <w:szCs w:val="24"/>
        </w:rPr>
      </w:pPr>
    </w:p>
    <w:p w14:paraId="3142DAB2" w14:textId="77777777" w:rsidR="004003E0" w:rsidRDefault="004003E0" w:rsidP="00363F3E">
      <w:pPr>
        <w:pStyle w:val="next"/>
        <w:spacing w:after="0"/>
        <w:rPr>
          <w:bCs/>
          <w:szCs w:val="24"/>
        </w:rPr>
      </w:pPr>
    </w:p>
    <w:p w14:paraId="004E5266" w14:textId="77777777" w:rsidR="004003E0" w:rsidRDefault="004003E0" w:rsidP="00363F3E">
      <w:pPr>
        <w:pStyle w:val="next"/>
        <w:spacing w:after="0"/>
        <w:rPr>
          <w:bCs/>
          <w:szCs w:val="24"/>
        </w:rPr>
      </w:pPr>
    </w:p>
    <w:p w14:paraId="5A1DDCAE" w14:textId="77777777" w:rsidR="004003E0" w:rsidRDefault="004003E0" w:rsidP="00363F3E">
      <w:pPr>
        <w:pStyle w:val="next"/>
        <w:spacing w:after="0"/>
        <w:rPr>
          <w:bCs/>
          <w:szCs w:val="24"/>
        </w:rPr>
      </w:pPr>
    </w:p>
    <w:p w14:paraId="3454EA52" w14:textId="77777777" w:rsidR="004003E0" w:rsidRDefault="004003E0" w:rsidP="00363F3E">
      <w:pPr>
        <w:pStyle w:val="next"/>
        <w:spacing w:after="0"/>
        <w:rPr>
          <w:bCs/>
          <w:szCs w:val="24"/>
        </w:rPr>
      </w:pPr>
    </w:p>
    <w:p w14:paraId="0B3FAAAA" w14:textId="77777777" w:rsidR="004003E0" w:rsidRDefault="004003E0" w:rsidP="00363F3E">
      <w:pPr>
        <w:pStyle w:val="next"/>
        <w:spacing w:after="0"/>
        <w:rPr>
          <w:bCs/>
          <w:szCs w:val="24"/>
        </w:rPr>
      </w:pPr>
    </w:p>
    <w:p w14:paraId="1DD1A3CB" w14:textId="77777777" w:rsidR="00480006" w:rsidRDefault="00480006" w:rsidP="00480006"/>
    <w:p w14:paraId="532F802A" w14:textId="4A1835B8" w:rsidR="000A43F9" w:rsidRDefault="000A43F9" w:rsidP="004003E0">
      <w:pPr>
        <w:pStyle w:val="Heading1"/>
        <w:rPr>
          <w:bCs w:val="0"/>
          <w:szCs w:val="24"/>
        </w:rPr>
      </w:pPr>
      <w:bookmarkStart w:id="29" w:name="_Toc210990755"/>
      <w:r>
        <w:rPr>
          <w:bCs w:val="0"/>
          <w:szCs w:val="24"/>
        </w:rPr>
        <w:lastRenderedPageBreak/>
        <w:t xml:space="preserve">APPENDIX </w:t>
      </w:r>
      <w:r w:rsidR="004003E0">
        <w:rPr>
          <w:bCs w:val="0"/>
          <w:szCs w:val="24"/>
        </w:rPr>
        <w:t xml:space="preserve">C </w:t>
      </w:r>
      <w:r>
        <w:rPr>
          <w:bCs w:val="0"/>
          <w:szCs w:val="24"/>
        </w:rPr>
        <w:t>– Overseas Applicants</w:t>
      </w:r>
      <w:r w:rsidR="004003E0">
        <w:rPr>
          <w:bCs w:val="0"/>
          <w:szCs w:val="24"/>
        </w:rPr>
        <w:t xml:space="preserve"> DBS Checks</w:t>
      </w:r>
      <w:bookmarkEnd w:id="29"/>
    </w:p>
    <w:p w14:paraId="50E757B5" w14:textId="77777777" w:rsidR="000A43F9" w:rsidRDefault="000A43F9" w:rsidP="00363F3E">
      <w:pPr>
        <w:pStyle w:val="next"/>
        <w:spacing w:after="0"/>
        <w:rPr>
          <w:bCs/>
          <w:szCs w:val="24"/>
        </w:rPr>
      </w:pPr>
    </w:p>
    <w:p w14:paraId="3519BBC2" w14:textId="77777777" w:rsidR="000A43F9" w:rsidRDefault="000A43F9" w:rsidP="000A43F9">
      <w:pPr>
        <w:pStyle w:val="next"/>
        <w:spacing w:after="0"/>
        <w:rPr>
          <w:b/>
          <w:bCs/>
        </w:rPr>
      </w:pPr>
      <w:r w:rsidRPr="000A43F9">
        <w:rPr>
          <w:b/>
          <w:bCs/>
        </w:rPr>
        <w:t>Checking via DBS</w:t>
      </w:r>
    </w:p>
    <w:p w14:paraId="53DED83E" w14:textId="77777777" w:rsidR="004003E0" w:rsidRPr="000A43F9" w:rsidRDefault="004003E0" w:rsidP="000A43F9">
      <w:pPr>
        <w:pStyle w:val="next"/>
        <w:spacing w:after="0"/>
        <w:rPr>
          <w:b/>
          <w:bCs/>
        </w:rPr>
      </w:pPr>
    </w:p>
    <w:p w14:paraId="3744DDF0" w14:textId="77777777" w:rsidR="000A43F9" w:rsidRDefault="000A43F9" w:rsidP="000A43F9">
      <w:pPr>
        <w:pStyle w:val="next"/>
        <w:spacing w:after="0"/>
        <w:rPr>
          <w:bCs/>
        </w:rPr>
      </w:pPr>
      <w:r w:rsidRPr="000A43F9">
        <w:rPr>
          <w:bCs/>
        </w:rPr>
        <w:t>DBS cannot access criminal records held overseas, but it is possible to submit an application while the applicant is overseas.</w:t>
      </w:r>
    </w:p>
    <w:p w14:paraId="41C83AA6" w14:textId="77777777" w:rsidR="004003E0" w:rsidRPr="000A43F9" w:rsidRDefault="004003E0" w:rsidP="000A43F9">
      <w:pPr>
        <w:pStyle w:val="next"/>
        <w:spacing w:after="0"/>
        <w:rPr>
          <w:bCs/>
        </w:rPr>
      </w:pPr>
    </w:p>
    <w:p w14:paraId="68031F92" w14:textId="77777777" w:rsidR="000A43F9" w:rsidRDefault="000A43F9" w:rsidP="000A43F9">
      <w:pPr>
        <w:pStyle w:val="next"/>
        <w:spacing w:after="0"/>
        <w:rPr>
          <w:bCs/>
        </w:rPr>
      </w:pPr>
      <w:r w:rsidRPr="000A43F9">
        <w:rPr>
          <w:bCs/>
        </w:rPr>
        <w:t>In a small number of cases, overseas criminal records are held on the Police National Computer (PNC</w:t>
      </w:r>
      <w:proofErr w:type="gramStart"/>
      <w:r w:rsidRPr="000A43F9">
        <w:rPr>
          <w:bCs/>
        </w:rPr>
        <w:t>)</w:t>
      </w:r>
      <w:proofErr w:type="gramEnd"/>
      <w:r w:rsidRPr="000A43F9">
        <w:rPr>
          <w:bCs/>
        </w:rPr>
        <w:t xml:space="preserve"> and these would be revealed as part of a criminal record check. You must still verify the identity of an overseas applicant.</w:t>
      </w:r>
    </w:p>
    <w:p w14:paraId="5019FCBC" w14:textId="77777777" w:rsidR="004003E0" w:rsidRPr="000A43F9" w:rsidRDefault="004003E0" w:rsidP="000A43F9">
      <w:pPr>
        <w:pStyle w:val="next"/>
        <w:spacing w:after="0"/>
        <w:rPr>
          <w:bCs/>
        </w:rPr>
      </w:pPr>
    </w:p>
    <w:p w14:paraId="5ADF06A5" w14:textId="77777777" w:rsidR="000A43F9" w:rsidRDefault="000A43F9" w:rsidP="000A43F9">
      <w:pPr>
        <w:pStyle w:val="next"/>
        <w:spacing w:after="0"/>
        <w:rPr>
          <w:bCs/>
        </w:rPr>
      </w:pPr>
      <w:r w:rsidRPr="000A43F9">
        <w:rPr>
          <w:bCs/>
        </w:rPr>
        <w:t>As the DBS cannot access criminal records held overseas, a criminal record check may not provide a complete picture of an individual’s criminal record.</w:t>
      </w:r>
    </w:p>
    <w:p w14:paraId="274A5AA6" w14:textId="77777777" w:rsidR="004003E0" w:rsidRPr="000A43F9" w:rsidRDefault="004003E0" w:rsidP="000A43F9">
      <w:pPr>
        <w:pStyle w:val="next"/>
        <w:spacing w:after="0"/>
        <w:rPr>
          <w:bCs/>
        </w:rPr>
      </w:pPr>
    </w:p>
    <w:p w14:paraId="390EC348" w14:textId="3012B90B" w:rsidR="000A43F9" w:rsidRDefault="000A43F9" w:rsidP="000A43F9">
      <w:pPr>
        <w:pStyle w:val="next"/>
        <w:spacing w:after="0"/>
        <w:rPr>
          <w:bCs/>
        </w:rPr>
      </w:pPr>
      <w:r w:rsidRPr="000A43F9">
        <w:rPr>
          <w:bCs/>
        </w:rPr>
        <w:t>For more information please see the following Home Office guidance: </w:t>
      </w:r>
      <w:hyperlink r:id="rId28" w:history="1">
        <w:r w:rsidRPr="000A43F9">
          <w:rPr>
            <w:rStyle w:val="Hyperlink"/>
            <w:bCs/>
          </w:rPr>
          <w:t>Criminal records checks for overseas applicants</w:t>
        </w:r>
      </w:hyperlink>
      <w:r w:rsidR="004003E0">
        <w:rPr>
          <w:bCs/>
        </w:rPr>
        <w:t xml:space="preserve"> (link)</w:t>
      </w:r>
    </w:p>
    <w:p w14:paraId="2EC70516" w14:textId="77777777" w:rsidR="004003E0" w:rsidRPr="000A43F9" w:rsidRDefault="004003E0" w:rsidP="000A43F9">
      <w:pPr>
        <w:pStyle w:val="next"/>
        <w:spacing w:after="0"/>
        <w:rPr>
          <w:bCs/>
        </w:rPr>
      </w:pPr>
    </w:p>
    <w:p w14:paraId="066664BF" w14:textId="77777777" w:rsidR="000A43F9" w:rsidRDefault="000A43F9" w:rsidP="000A43F9">
      <w:pPr>
        <w:pStyle w:val="next"/>
        <w:spacing w:after="0"/>
        <w:rPr>
          <w:b/>
          <w:bCs/>
        </w:rPr>
      </w:pPr>
      <w:r w:rsidRPr="000A43F9">
        <w:rPr>
          <w:b/>
          <w:bCs/>
        </w:rPr>
        <w:t>Checking via embassies</w:t>
      </w:r>
    </w:p>
    <w:p w14:paraId="39CC976E" w14:textId="77777777" w:rsidR="004003E0" w:rsidRPr="000A43F9" w:rsidRDefault="004003E0" w:rsidP="000A43F9">
      <w:pPr>
        <w:pStyle w:val="next"/>
        <w:spacing w:after="0"/>
        <w:rPr>
          <w:b/>
          <w:bCs/>
        </w:rPr>
      </w:pPr>
    </w:p>
    <w:p w14:paraId="2133A0B8" w14:textId="77777777" w:rsidR="000A43F9" w:rsidRPr="000A43F9" w:rsidRDefault="000A43F9" w:rsidP="000A43F9">
      <w:pPr>
        <w:pStyle w:val="next"/>
        <w:spacing w:after="0"/>
        <w:rPr>
          <w:bCs/>
        </w:rPr>
      </w:pPr>
      <w:r w:rsidRPr="000A43F9">
        <w:rPr>
          <w:bCs/>
        </w:rPr>
        <w:t>If you are recruiting people from overseas and wish to check their overseas criminal record, you should contact the embassy or High Commission of the country in question.</w:t>
      </w:r>
    </w:p>
    <w:p w14:paraId="54A98890" w14:textId="36024780" w:rsidR="000A43F9" w:rsidRDefault="000A43F9" w:rsidP="000A43F9">
      <w:pPr>
        <w:pStyle w:val="next"/>
        <w:spacing w:after="0"/>
        <w:rPr>
          <w:bCs/>
        </w:rPr>
      </w:pPr>
      <w:hyperlink r:id="rId29" w:history="1">
        <w:r w:rsidRPr="000A43F9">
          <w:rPr>
            <w:rStyle w:val="Hyperlink"/>
            <w:bCs/>
          </w:rPr>
          <w:t>Contact details for embassies and High Commissions in the UK can be found on the Foreign &amp; Commonwealth Office (FCO) website</w:t>
        </w:r>
      </w:hyperlink>
      <w:r w:rsidR="004003E0">
        <w:rPr>
          <w:bCs/>
        </w:rPr>
        <w:t xml:space="preserve"> (link)</w:t>
      </w:r>
      <w:r w:rsidRPr="000A43F9">
        <w:rPr>
          <w:bCs/>
        </w:rPr>
        <w:t>.</w:t>
      </w:r>
    </w:p>
    <w:p w14:paraId="65723B70" w14:textId="77777777" w:rsidR="004003E0" w:rsidRPr="000A43F9" w:rsidRDefault="004003E0" w:rsidP="000A43F9">
      <w:pPr>
        <w:pStyle w:val="next"/>
        <w:spacing w:after="0"/>
        <w:rPr>
          <w:bCs/>
        </w:rPr>
      </w:pPr>
    </w:p>
    <w:p w14:paraId="06E8CE5D" w14:textId="77777777" w:rsidR="000A43F9" w:rsidRDefault="000A43F9" w:rsidP="000A43F9">
      <w:pPr>
        <w:pStyle w:val="next"/>
        <w:spacing w:after="0"/>
        <w:rPr>
          <w:bCs/>
        </w:rPr>
      </w:pPr>
      <w:r w:rsidRPr="000A43F9">
        <w:rPr>
          <w:bCs/>
        </w:rPr>
        <w:t>You can also contact the FCO Response Centre on 020 7008 1500.</w:t>
      </w:r>
    </w:p>
    <w:p w14:paraId="5C8C3593" w14:textId="77777777" w:rsidR="004003E0" w:rsidRPr="000A43F9" w:rsidRDefault="004003E0" w:rsidP="000A43F9">
      <w:pPr>
        <w:pStyle w:val="next"/>
        <w:spacing w:after="0"/>
        <w:rPr>
          <w:bCs/>
        </w:rPr>
      </w:pPr>
    </w:p>
    <w:p w14:paraId="2C41754B" w14:textId="77777777" w:rsidR="000A43F9" w:rsidRDefault="000A43F9" w:rsidP="000A43F9">
      <w:pPr>
        <w:pStyle w:val="next"/>
        <w:spacing w:after="0"/>
        <w:rPr>
          <w:bCs/>
        </w:rPr>
      </w:pPr>
      <w:r w:rsidRPr="000A43F9">
        <w:rPr>
          <w:bCs/>
        </w:rPr>
        <w:t>If the foreign check needs translating, the embassy of the country concerned may be able to help.</w:t>
      </w:r>
    </w:p>
    <w:p w14:paraId="5F8911B9" w14:textId="77777777" w:rsidR="004003E0" w:rsidRPr="000A43F9" w:rsidRDefault="004003E0" w:rsidP="000A43F9">
      <w:pPr>
        <w:pStyle w:val="next"/>
        <w:spacing w:after="0"/>
        <w:rPr>
          <w:bCs/>
        </w:rPr>
      </w:pPr>
    </w:p>
    <w:p w14:paraId="663D77DD" w14:textId="77777777" w:rsidR="000A43F9" w:rsidRDefault="000A43F9" w:rsidP="000A43F9">
      <w:pPr>
        <w:pStyle w:val="next"/>
        <w:spacing w:after="0"/>
        <w:rPr>
          <w:bCs/>
        </w:rPr>
      </w:pPr>
      <w:r w:rsidRPr="000A43F9">
        <w:rPr>
          <w:bCs/>
        </w:rPr>
        <w:t>The DBS is not involved in the processing of applications made by individuals to overseas authorities and will not be responsible for the contents or the length of time taken for information to be returned.</w:t>
      </w:r>
    </w:p>
    <w:p w14:paraId="65C8AFFD" w14:textId="77777777" w:rsidR="004003E0" w:rsidRPr="000A43F9" w:rsidRDefault="004003E0" w:rsidP="000A43F9">
      <w:pPr>
        <w:pStyle w:val="next"/>
        <w:spacing w:after="0"/>
        <w:rPr>
          <w:bCs/>
        </w:rPr>
      </w:pPr>
    </w:p>
    <w:p w14:paraId="5F2C4D46" w14:textId="77777777" w:rsidR="000A43F9" w:rsidRDefault="000A43F9" w:rsidP="000A43F9">
      <w:pPr>
        <w:pStyle w:val="next"/>
        <w:spacing w:after="0"/>
        <w:rPr>
          <w:b/>
          <w:bCs/>
        </w:rPr>
      </w:pPr>
      <w:r w:rsidRPr="000A43F9">
        <w:rPr>
          <w:b/>
          <w:bCs/>
        </w:rPr>
        <w:t>Certificates of good conduct</w:t>
      </w:r>
    </w:p>
    <w:p w14:paraId="459EB820" w14:textId="77777777" w:rsidR="004003E0" w:rsidRPr="000A43F9" w:rsidRDefault="004003E0" w:rsidP="000A43F9">
      <w:pPr>
        <w:pStyle w:val="next"/>
        <w:spacing w:after="0"/>
        <w:rPr>
          <w:b/>
          <w:bCs/>
        </w:rPr>
      </w:pPr>
    </w:p>
    <w:p w14:paraId="419D572A" w14:textId="77777777" w:rsidR="000A43F9" w:rsidRPr="000A43F9" w:rsidRDefault="000A43F9" w:rsidP="000A43F9">
      <w:pPr>
        <w:pStyle w:val="next"/>
        <w:spacing w:after="0"/>
        <w:rPr>
          <w:bCs/>
        </w:rPr>
      </w:pPr>
      <w:r w:rsidRPr="000A43F9">
        <w:rPr>
          <w:bCs/>
        </w:rPr>
        <w:t>You should try to obtain a certificate of good conduct, and any other references, from potential overseas employees. The standard of foreign police checks varies. For more information about a specific standard, you should contact the authorities in a particular country, or their embassy.</w:t>
      </w:r>
    </w:p>
    <w:p w14:paraId="2D3FDE21" w14:textId="77777777" w:rsidR="004003E0" w:rsidRDefault="004003E0" w:rsidP="000A43F9">
      <w:pPr>
        <w:pStyle w:val="next"/>
        <w:spacing w:after="0"/>
        <w:rPr>
          <w:bCs/>
        </w:rPr>
      </w:pPr>
    </w:p>
    <w:p w14:paraId="4C25ACD7" w14:textId="750A7538" w:rsidR="000A43F9" w:rsidRDefault="000A43F9" w:rsidP="000A43F9">
      <w:pPr>
        <w:pStyle w:val="next"/>
        <w:spacing w:after="0"/>
        <w:rPr>
          <w:bCs/>
        </w:rPr>
      </w:pPr>
      <w:r w:rsidRPr="000A43F9">
        <w:rPr>
          <w:bCs/>
        </w:rPr>
        <w:t>The DBS does not offer a translation service, so either you (or the employee) should obtain a certified translation of the certificate of good conduct.</w:t>
      </w:r>
    </w:p>
    <w:p w14:paraId="24183EE4" w14:textId="77777777" w:rsidR="000A43F9" w:rsidRPr="00363F3E" w:rsidRDefault="000A43F9" w:rsidP="00363F3E">
      <w:pPr>
        <w:pStyle w:val="next"/>
        <w:spacing w:after="0"/>
        <w:rPr>
          <w:bCs/>
          <w:szCs w:val="24"/>
        </w:rPr>
      </w:pPr>
    </w:p>
    <w:sectPr w:rsidR="000A43F9" w:rsidRPr="00363F3E" w:rsidSect="00835F95">
      <w:headerReference w:type="even" r:id="rId30"/>
      <w:headerReference w:type="default" r:id="rId31"/>
      <w:footerReference w:type="even" r:id="rId32"/>
      <w:footerReference w:type="default" r:id="rId33"/>
      <w:headerReference w:type="first" r:id="rId34"/>
      <w:footerReference w:type="first" r:id="rId35"/>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7A00" w14:textId="77777777" w:rsidR="00E86CEE" w:rsidRDefault="00E86CEE">
      <w:r>
        <w:separator/>
      </w:r>
    </w:p>
    <w:p w14:paraId="72F846A9" w14:textId="77777777" w:rsidR="00E86CEE" w:rsidRDefault="00E86CEE"/>
  </w:endnote>
  <w:endnote w:type="continuationSeparator" w:id="0">
    <w:p w14:paraId="71EDC889" w14:textId="77777777" w:rsidR="00E86CEE" w:rsidRDefault="00E86CEE">
      <w:r>
        <w:continuationSeparator/>
      </w:r>
    </w:p>
    <w:p w14:paraId="4A333764" w14:textId="77777777" w:rsidR="00E86CEE" w:rsidRDefault="00E86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p w14:paraId="1DC5EB98" w14:textId="77777777" w:rsidR="00FC1CF2" w:rsidRDefault="00FC1C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1C797EA1" w:rsidR="0064303C" w:rsidRPr="00922A40" w:rsidRDefault="00362EE5" w:rsidP="0064303C">
    <w:pPr>
      <w:rPr>
        <w:rFonts w:cs="Arial"/>
        <w:b/>
        <w:color w:val="2C2F2E"/>
        <w:sz w:val="19"/>
        <w:szCs w:val="19"/>
      </w:rPr>
    </w:pPr>
    <w:r>
      <w:rPr>
        <w:noProof/>
      </w:rPr>
      <w:drawing>
        <wp:anchor distT="0" distB="0" distL="114300" distR="114300" simplePos="0" relativeHeight="251666432" behindDoc="1" locked="0" layoutInCell="1" allowOverlap="1" wp14:anchorId="3AB71D81" wp14:editId="36642E92">
          <wp:simplePos x="0" y="0"/>
          <wp:positionH relativeFrom="column">
            <wp:posOffset>-540385</wp:posOffset>
          </wp:positionH>
          <wp:positionV relativeFrom="paragraph">
            <wp:posOffset>46243</wp:posOffset>
          </wp:positionV>
          <wp:extent cx="7559675" cy="571939"/>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fldChar w:fldCharType="begin"/>
    </w:r>
    <w:r w:rsidR="0064303C" w:rsidRPr="00922A40">
      <w:rPr>
        <w:rFonts w:cs="Arial"/>
        <w:b/>
        <w:color w:val="2C2F2E"/>
        <w:sz w:val="19"/>
        <w:szCs w:val="19"/>
      </w:rPr>
      <w:instrText xml:space="preserve"> PAGE </w:instrText>
    </w:r>
    <w:r w:rsidR="0064303C" w:rsidRPr="00922A40">
      <w:rPr>
        <w:rFonts w:cs="Arial"/>
        <w:b/>
        <w:color w:val="2C2F2E"/>
        <w:sz w:val="19"/>
        <w:szCs w:val="19"/>
      </w:rPr>
      <w:fldChar w:fldCharType="separate"/>
    </w:r>
    <w:r w:rsidR="0064303C">
      <w:rPr>
        <w:rFonts w:cs="Arial"/>
        <w:b/>
        <w:color w:val="2C2F2E"/>
        <w:sz w:val="19"/>
        <w:szCs w:val="19"/>
      </w:rPr>
      <w:t>2</w:t>
    </w:r>
    <w:r w:rsidR="0064303C" w:rsidRPr="00922A40">
      <w:rPr>
        <w:rFonts w:cs="Arial"/>
        <w:b/>
        <w:color w:val="2C2F2E"/>
        <w:sz w:val="19"/>
        <w:szCs w:val="19"/>
      </w:rPr>
      <w:fldChar w:fldCharType="end"/>
    </w:r>
    <w:r w:rsidR="0064303C" w:rsidRPr="00922A40">
      <w:rPr>
        <w:rFonts w:cs="Arial"/>
        <w:b/>
        <w:color w:val="2C2F2E"/>
        <w:sz w:val="19"/>
        <w:szCs w:val="19"/>
      </w:rPr>
      <w:t xml:space="preserve">     </w:t>
    </w:r>
    <w:r w:rsidR="0064303C">
      <w:rPr>
        <w:rFonts w:cs="Arial"/>
        <w:b/>
        <w:color w:val="2C2F2E"/>
        <w:sz w:val="19"/>
        <w:szCs w:val="19"/>
      </w:rPr>
      <w:t xml:space="preserve">                                                                                                                </w:t>
    </w:r>
    <w:r w:rsidR="00BD7796">
      <w:rPr>
        <w:rFonts w:cs="Arial"/>
        <w:b/>
        <w:color w:val="2C2F2E"/>
        <w:sz w:val="19"/>
        <w:szCs w:val="19"/>
      </w:rPr>
      <w:t>Safer Recruitment, Right to Work and DBS</w:t>
    </w:r>
  </w:p>
  <w:p w14:paraId="047D987F" w14:textId="50A97396" w:rsidR="00282847" w:rsidRDefault="00282847"/>
  <w:p w14:paraId="4696E823" w14:textId="77777777" w:rsidR="00FC1CF2" w:rsidRDefault="00FC1C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362" name="Picture 36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835A" w14:textId="77777777" w:rsidR="00E86CEE" w:rsidRDefault="00E86CEE">
      <w:r>
        <w:separator/>
      </w:r>
    </w:p>
    <w:p w14:paraId="2B6CCC91" w14:textId="77777777" w:rsidR="00E86CEE" w:rsidRDefault="00E86CEE"/>
  </w:footnote>
  <w:footnote w:type="continuationSeparator" w:id="0">
    <w:p w14:paraId="36EA328D" w14:textId="77777777" w:rsidR="00E86CEE" w:rsidRDefault="00E86CEE">
      <w:r>
        <w:continuationSeparator/>
      </w:r>
    </w:p>
    <w:p w14:paraId="51A20E0F" w14:textId="77777777" w:rsidR="00E86CEE" w:rsidRDefault="00E86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78E7BAC9" w14:textId="77777777" w:rsidR="00FC1CF2" w:rsidRDefault="00FC1C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p w14:paraId="704F8CE7" w14:textId="77777777" w:rsidR="00FC1CF2" w:rsidRDefault="00FC1C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241"/>
    <w:multiLevelType w:val="multilevel"/>
    <w:tmpl w:val="8B4A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41B09"/>
    <w:multiLevelType w:val="multilevel"/>
    <w:tmpl w:val="C2DA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3A4540"/>
    <w:multiLevelType w:val="hybridMultilevel"/>
    <w:tmpl w:val="C47436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26078"/>
    <w:multiLevelType w:val="hybridMultilevel"/>
    <w:tmpl w:val="84124C5C"/>
    <w:lvl w:ilvl="0" w:tplc="1BAAC3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D7DAF"/>
    <w:multiLevelType w:val="hybridMultilevel"/>
    <w:tmpl w:val="EC74CA08"/>
    <w:lvl w:ilvl="0" w:tplc="1BAAC3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65AF8"/>
    <w:multiLevelType w:val="multilevel"/>
    <w:tmpl w:val="32D2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2066ED"/>
    <w:multiLevelType w:val="hybridMultilevel"/>
    <w:tmpl w:val="C69E4BA8"/>
    <w:lvl w:ilvl="0" w:tplc="1BAAC3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60878"/>
    <w:multiLevelType w:val="hybridMultilevel"/>
    <w:tmpl w:val="FE466F1E"/>
    <w:lvl w:ilvl="0" w:tplc="1BAAC3D2">
      <w:numFmt w:val="bullet"/>
      <w:lvlText w:val="•"/>
      <w:lvlJc w:val="left"/>
      <w:pPr>
        <w:ind w:left="1800" w:hanging="360"/>
      </w:pPr>
      <w:rPr>
        <w:rFonts w:ascii="Arial" w:eastAsia="Times New Roman"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7346837"/>
    <w:multiLevelType w:val="multilevel"/>
    <w:tmpl w:val="3CE232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69F6167"/>
    <w:multiLevelType w:val="multilevel"/>
    <w:tmpl w:val="0DAA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3A50EC"/>
    <w:multiLevelType w:val="multilevel"/>
    <w:tmpl w:val="479A7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C24E6"/>
    <w:multiLevelType w:val="multilevel"/>
    <w:tmpl w:val="A968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B0314"/>
    <w:multiLevelType w:val="multilevel"/>
    <w:tmpl w:val="8E8A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A32B56"/>
    <w:multiLevelType w:val="hybridMultilevel"/>
    <w:tmpl w:val="7F3EF2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4C3BFF"/>
    <w:multiLevelType w:val="hybridMultilevel"/>
    <w:tmpl w:val="CC0ED12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AD2C01"/>
    <w:multiLevelType w:val="multilevel"/>
    <w:tmpl w:val="96D0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2C0331"/>
    <w:multiLevelType w:val="multilevel"/>
    <w:tmpl w:val="3CE232BC"/>
    <w:lvl w:ilvl="0">
      <w:start w:val="1"/>
      <w:numFmt w:val="decimal"/>
      <w:pStyle w:val="ListNumb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DBB5DB1"/>
    <w:multiLevelType w:val="multilevel"/>
    <w:tmpl w:val="327A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9910454">
    <w:abstractNumId w:val="8"/>
  </w:num>
  <w:num w:numId="2" w16cid:durableId="1030958012">
    <w:abstractNumId w:val="7"/>
  </w:num>
  <w:num w:numId="3" w16cid:durableId="1223908468">
    <w:abstractNumId w:val="4"/>
  </w:num>
  <w:num w:numId="4" w16cid:durableId="1679890269">
    <w:abstractNumId w:val="6"/>
  </w:num>
  <w:num w:numId="5" w16cid:durableId="1291205292">
    <w:abstractNumId w:val="3"/>
  </w:num>
  <w:num w:numId="6" w16cid:durableId="459229282">
    <w:abstractNumId w:val="2"/>
  </w:num>
  <w:num w:numId="7" w16cid:durableId="542057914">
    <w:abstractNumId w:val="16"/>
  </w:num>
  <w:num w:numId="8" w16cid:durableId="157305576">
    <w:abstractNumId w:val="14"/>
  </w:num>
  <w:num w:numId="9" w16cid:durableId="1151365185">
    <w:abstractNumId w:val="13"/>
  </w:num>
  <w:num w:numId="10" w16cid:durableId="371267412">
    <w:abstractNumId w:val="17"/>
  </w:num>
  <w:num w:numId="11" w16cid:durableId="1805854362">
    <w:abstractNumId w:val="5"/>
  </w:num>
  <w:num w:numId="12" w16cid:durableId="903682794">
    <w:abstractNumId w:val="12"/>
  </w:num>
  <w:num w:numId="13" w16cid:durableId="1788961512">
    <w:abstractNumId w:val="11"/>
  </w:num>
  <w:num w:numId="14" w16cid:durableId="445849019">
    <w:abstractNumId w:val="9"/>
  </w:num>
  <w:num w:numId="15" w16cid:durableId="2048751027">
    <w:abstractNumId w:val="10"/>
  </w:num>
  <w:num w:numId="16" w16cid:durableId="1203707575">
    <w:abstractNumId w:val="0"/>
  </w:num>
  <w:num w:numId="17" w16cid:durableId="803350305">
    <w:abstractNumId w:val="1"/>
  </w:num>
  <w:num w:numId="18" w16cid:durableId="185291059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4C92"/>
    <w:rsid w:val="00015A79"/>
    <w:rsid w:val="000162B0"/>
    <w:rsid w:val="00020DCB"/>
    <w:rsid w:val="000254D9"/>
    <w:rsid w:val="0002751C"/>
    <w:rsid w:val="000334B2"/>
    <w:rsid w:val="00037852"/>
    <w:rsid w:val="00045A0A"/>
    <w:rsid w:val="0005097B"/>
    <w:rsid w:val="00054F7E"/>
    <w:rsid w:val="00055692"/>
    <w:rsid w:val="00061865"/>
    <w:rsid w:val="000655C3"/>
    <w:rsid w:val="000655EB"/>
    <w:rsid w:val="000749EF"/>
    <w:rsid w:val="000814C5"/>
    <w:rsid w:val="000A28DB"/>
    <w:rsid w:val="000A2AD3"/>
    <w:rsid w:val="000A43F9"/>
    <w:rsid w:val="000B6949"/>
    <w:rsid w:val="000B69A7"/>
    <w:rsid w:val="000B712A"/>
    <w:rsid w:val="000C0678"/>
    <w:rsid w:val="000C1774"/>
    <w:rsid w:val="000C5582"/>
    <w:rsid w:val="000C62F0"/>
    <w:rsid w:val="000D0DFF"/>
    <w:rsid w:val="000D0E03"/>
    <w:rsid w:val="000D6ECB"/>
    <w:rsid w:val="000E2C35"/>
    <w:rsid w:val="000E32BD"/>
    <w:rsid w:val="000E5237"/>
    <w:rsid w:val="000E549B"/>
    <w:rsid w:val="000E79FD"/>
    <w:rsid w:val="000F0209"/>
    <w:rsid w:val="000F31FE"/>
    <w:rsid w:val="000F65D9"/>
    <w:rsid w:val="000F6F93"/>
    <w:rsid w:val="00104A3A"/>
    <w:rsid w:val="001067D2"/>
    <w:rsid w:val="001068B7"/>
    <w:rsid w:val="00113D9A"/>
    <w:rsid w:val="00117798"/>
    <w:rsid w:val="00124BE9"/>
    <w:rsid w:val="00135432"/>
    <w:rsid w:val="00144743"/>
    <w:rsid w:val="00144E71"/>
    <w:rsid w:val="00161CDF"/>
    <w:rsid w:val="00170CE1"/>
    <w:rsid w:val="0018284F"/>
    <w:rsid w:val="00186338"/>
    <w:rsid w:val="00192267"/>
    <w:rsid w:val="00193472"/>
    <w:rsid w:val="00196EB5"/>
    <w:rsid w:val="001A0858"/>
    <w:rsid w:val="001A1D46"/>
    <w:rsid w:val="001A28C4"/>
    <w:rsid w:val="001A2B01"/>
    <w:rsid w:val="001A6C88"/>
    <w:rsid w:val="001B2021"/>
    <w:rsid w:val="001B2246"/>
    <w:rsid w:val="001B2E3C"/>
    <w:rsid w:val="001B625A"/>
    <w:rsid w:val="001B7220"/>
    <w:rsid w:val="001C209C"/>
    <w:rsid w:val="001C3023"/>
    <w:rsid w:val="001D0693"/>
    <w:rsid w:val="001E0E1F"/>
    <w:rsid w:val="001E3959"/>
    <w:rsid w:val="001E5DBA"/>
    <w:rsid w:val="001F1C3B"/>
    <w:rsid w:val="00204386"/>
    <w:rsid w:val="00205D1F"/>
    <w:rsid w:val="00210389"/>
    <w:rsid w:val="00217CE6"/>
    <w:rsid w:val="002208DF"/>
    <w:rsid w:val="002240B0"/>
    <w:rsid w:val="00225128"/>
    <w:rsid w:val="00226EC4"/>
    <w:rsid w:val="002279EF"/>
    <w:rsid w:val="002300F9"/>
    <w:rsid w:val="0023224B"/>
    <w:rsid w:val="002322B3"/>
    <w:rsid w:val="00240964"/>
    <w:rsid w:val="00242986"/>
    <w:rsid w:val="00242A96"/>
    <w:rsid w:val="00244655"/>
    <w:rsid w:val="002457D0"/>
    <w:rsid w:val="00257439"/>
    <w:rsid w:val="002577A7"/>
    <w:rsid w:val="00262990"/>
    <w:rsid w:val="002630D4"/>
    <w:rsid w:val="00265789"/>
    <w:rsid w:val="00267870"/>
    <w:rsid w:val="00275F83"/>
    <w:rsid w:val="00282847"/>
    <w:rsid w:val="002852D1"/>
    <w:rsid w:val="002949B5"/>
    <w:rsid w:val="00297394"/>
    <w:rsid w:val="002A3987"/>
    <w:rsid w:val="002A5203"/>
    <w:rsid w:val="002A52EB"/>
    <w:rsid w:val="002B4ED4"/>
    <w:rsid w:val="002B50B8"/>
    <w:rsid w:val="002D1E19"/>
    <w:rsid w:val="002D2913"/>
    <w:rsid w:val="002D5D8F"/>
    <w:rsid w:val="002D7DF5"/>
    <w:rsid w:val="002E5A18"/>
    <w:rsid w:val="002E6BB1"/>
    <w:rsid w:val="002E777E"/>
    <w:rsid w:val="002F6191"/>
    <w:rsid w:val="00301D18"/>
    <w:rsid w:val="003078CE"/>
    <w:rsid w:val="00310CE5"/>
    <w:rsid w:val="003139B3"/>
    <w:rsid w:val="00322019"/>
    <w:rsid w:val="00334B61"/>
    <w:rsid w:val="00335A09"/>
    <w:rsid w:val="0034154E"/>
    <w:rsid w:val="00345F8A"/>
    <w:rsid w:val="00352DC9"/>
    <w:rsid w:val="00361F2C"/>
    <w:rsid w:val="00362EE5"/>
    <w:rsid w:val="00363F3E"/>
    <w:rsid w:val="00373C28"/>
    <w:rsid w:val="003753CB"/>
    <w:rsid w:val="00384EE4"/>
    <w:rsid w:val="00385FF9"/>
    <w:rsid w:val="003943BA"/>
    <w:rsid w:val="00397922"/>
    <w:rsid w:val="003A1DCD"/>
    <w:rsid w:val="003A23A5"/>
    <w:rsid w:val="003A3117"/>
    <w:rsid w:val="003A68A9"/>
    <w:rsid w:val="003A7FC7"/>
    <w:rsid w:val="003B2690"/>
    <w:rsid w:val="003C3FBE"/>
    <w:rsid w:val="003D18FB"/>
    <w:rsid w:val="003D2E11"/>
    <w:rsid w:val="003D5EC2"/>
    <w:rsid w:val="003E2C80"/>
    <w:rsid w:val="003F172B"/>
    <w:rsid w:val="003F1DA2"/>
    <w:rsid w:val="003F4818"/>
    <w:rsid w:val="004003E0"/>
    <w:rsid w:val="004021D3"/>
    <w:rsid w:val="00413E8D"/>
    <w:rsid w:val="004168A4"/>
    <w:rsid w:val="004253EA"/>
    <w:rsid w:val="004263CF"/>
    <w:rsid w:val="00427035"/>
    <w:rsid w:val="004459E2"/>
    <w:rsid w:val="00447A2F"/>
    <w:rsid w:val="00453786"/>
    <w:rsid w:val="004553D8"/>
    <w:rsid w:val="004600CD"/>
    <w:rsid w:val="00462943"/>
    <w:rsid w:val="004740ED"/>
    <w:rsid w:val="00480006"/>
    <w:rsid w:val="004913BD"/>
    <w:rsid w:val="00492A5D"/>
    <w:rsid w:val="004A632C"/>
    <w:rsid w:val="004B0EBD"/>
    <w:rsid w:val="004B1516"/>
    <w:rsid w:val="004B46C2"/>
    <w:rsid w:val="004B472C"/>
    <w:rsid w:val="004C09F0"/>
    <w:rsid w:val="004C0B30"/>
    <w:rsid w:val="004C0F37"/>
    <w:rsid w:val="004C4F84"/>
    <w:rsid w:val="004D4839"/>
    <w:rsid w:val="004E1321"/>
    <w:rsid w:val="004E1ABA"/>
    <w:rsid w:val="004E3AD9"/>
    <w:rsid w:val="004E47C2"/>
    <w:rsid w:val="004E7AC9"/>
    <w:rsid w:val="004F413D"/>
    <w:rsid w:val="005012E8"/>
    <w:rsid w:val="00502870"/>
    <w:rsid w:val="00505B1A"/>
    <w:rsid w:val="00506957"/>
    <w:rsid w:val="00515D3D"/>
    <w:rsid w:val="00523C36"/>
    <w:rsid w:val="005267F4"/>
    <w:rsid w:val="00532349"/>
    <w:rsid w:val="00540D1D"/>
    <w:rsid w:val="00540DFE"/>
    <w:rsid w:val="00541565"/>
    <w:rsid w:val="005464C2"/>
    <w:rsid w:val="00546F07"/>
    <w:rsid w:val="00547376"/>
    <w:rsid w:val="005536FF"/>
    <w:rsid w:val="00555AB3"/>
    <w:rsid w:val="00560E18"/>
    <w:rsid w:val="00566707"/>
    <w:rsid w:val="00573984"/>
    <w:rsid w:val="00573C11"/>
    <w:rsid w:val="0058122A"/>
    <w:rsid w:val="0058330C"/>
    <w:rsid w:val="00592AE0"/>
    <w:rsid w:val="00593EDE"/>
    <w:rsid w:val="005A1EE8"/>
    <w:rsid w:val="005A2F69"/>
    <w:rsid w:val="005A552F"/>
    <w:rsid w:val="005B641E"/>
    <w:rsid w:val="005C29CE"/>
    <w:rsid w:val="005D0D28"/>
    <w:rsid w:val="005D2708"/>
    <w:rsid w:val="005D3D9B"/>
    <w:rsid w:val="005D3F93"/>
    <w:rsid w:val="005D7111"/>
    <w:rsid w:val="005E7C71"/>
    <w:rsid w:val="005F11C8"/>
    <w:rsid w:val="005F74C4"/>
    <w:rsid w:val="00602E95"/>
    <w:rsid w:val="006134A8"/>
    <w:rsid w:val="006140C1"/>
    <w:rsid w:val="00615049"/>
    <w:rsid w:val="006213BE"/>
    <w:rsid w:val="00621E83"/>
    <w:rsid w:val="006275EF"/>
    <w:rsid w:val="00627D1E"/>
    <w:rsid w:val="00630CBA"/>
    <w:rsid w:val="006356BE"/>
    <w:rsid w:val="00642490"/>
    <w:rsid w:val="0064303C"/>
    <w:rsid w:val="0064524B"/>
    <w:rsid w:val="0064541A"/>
    <w:rsid w:val="00651188"/>
    <w:rsid w:val="00661973"/>
    <w:rsid w:val="00663175"/>
    <w:rsid w:val="006704DE"/>
    <w:rsid w:val="006836F4"/>
    <w:rsid w:val="00687175"/>
    <w:rsid w:val="006A2DCC"/>
    <w:rsid w:val="006B1240"/>
    <w:rsid w:val="006B5DA1"/>
    <w:rsid w:val="006C26C7"/>
    <w:rsid w:val="006C2B40"/>
    <w:rsid w:val="006C36D9"/>
    <w:rsid w:val="006C6A86"/>
    <w:rsid w:val="006D5585"/>
    <w:rsid w:val="006D61F4"/>
    <w:rsid w:val="006D7075"/>
    <w:rsid w:val="006F0F6F"/>
    <w:rsid w:val="007006E2"/>
    <w:rsid w:val="00705CD3"/>
    <w:rsid w:val="0070771E"/>
    <w:rsid w:val="0071194E"/>
    <w:rsid w:val="007138EE"/>
    <w:rsid w:val="00714513"/>
    <w:rsid w:val="007160BE"/>
    <w:rsid w:val="00723434"/>
    <w:rsid w:val="007257C5"/>
    <w:rsid w:val="00726EF2"/>
    <w:rsid w:val="00727065"/>
    <w:rsid w:val="00727705"/>
    <w:rsid w:val="00735539"/>
    <w:rsid w:val="007416D2"/>
    <w:rsid w:val="007450CE"/>
    <w:rsid w:val="00746AD7"/>
    <w:rsid w:val="00753BE4"/>
    <w:rsid w:val="00754642"/>
    <w:rsid w:val="00756B0B"/>
    <w:rsid w:val="00760636"/>
    <w:rsid w:val="00762E65"/>
    <w:rsid w:val="00765ABB"/>
    <w:rsid w:val="00784072"/>
    <w:rsid w:val="007B32FB"/>
    <w:rsid w:val="007B45CE"/>
    <w:rsid w:val="007B5F9A"/>
    <w:rsid w:val="007D1565"/>
    <w:rsid w:val="007D33BD"/>
    <w:rsid w:val="007D5313"/>
    <w:rsid w:val="007E02C2"/>
    <w:rsid w:val="007E1BBC"/>
    <w:rsid w:val="007E2DA1"/>
    <w:rsid w:val="007F0F4C"/>
    <w:rsid w:val="007F2DBF"/>
    <w:rsid w:val="007F6EFB"/>
    <w:rsid w:val="008139D7"/>
    <w:rsid w:val="008170FF"/>
    <w:rsid w:val="00820172"/>
    <w:rsid w:val="00821D8E"/>
    <w:rsid w:val="008278C0"/>
    <w:rsid w:val="00830216"/>
    <w:rsid w:val="00835F95"/>
    <w:rsid w:val="00836C10"/>
    <w:rsid w:val="00837D51"/>
    <w:rsid w:val="00844464"/>
    <w:rsid w:val="00846050"/>
    <w:rsid w:val="00864A0C"/>
    <w:rsid w:val="008659FA"/>
    <w:rsid w:val="00867FD0"/>
    <w:rsid w:val="00872A78"/>
    <w:rsid w:val="00875A3B"/>
    <w:rsid w:val="00880092"/>
    <w:rsid w:val="008837D5"/>
    <w:rsid w:val="00884016"/>
    <w:rsid w:val="008845B9"/>
    <w:rsid w:val="008858E4"/>
    <w:rsid w:val="00887102"/>
    <w:rsid w:val="00890D6C"/>
    <w:rsid w:val="00891AC9"/>
    <w:rsid w:val="00891BFE"/>
    <w:rsid w:val="00893696"/>
    <w:rsid w:val="008A3799"/>
    <w:rsid w:val="008A7A3B"/>
    <w:rsid w:val="008B2B99"/>
    <w:rsid w:val="008B2E23"/>
    <w:rsid w:val="008C3D45"/>
    <w:rsid w:val="008C646F"/>
    <w:rsid w:val="008D1740"/>
    <w:rsid w:val="008D3DF3"/>
    <w:rsid w:val="008D63BA"/>
    <w:rsid w:val="008E0FB6"/>
    <w:rsid w:val="008E4BBE"/>
    <w:rsid w:val="008F79A0"/>
    <w:rsid w:val="009054E6"/>
    <w:rsid w:val="009120E6"/>
    <w:rsid w:val="00912717"/>
    <w:rsid w:val="00920CD7"/>
    <w:rsid w:val="00922A40"/>
    <w:rsid w:val="009422C2"/>
    <w:rsid w:val="00944FAA"/>
    <w:rsid w:val="00944FC0"/>
    <w:rsid w:val="0095010B"/>
    <w:rsid w:val="0095399F"/>
    <w:rsid w:val="00957780"/>
    <w:rsid w:val="00962010"/>
    <w:rsid w:val="00962033"/>
    <w:rsid w:val="009729A3"/>
    <w:rsid w:val="00972FA9"/>
    <w:rsid w:val="00992607"/>
    <w:rsid w:val="00993A6F"/>
    <w:rsid w:val="00997FB0"/>
    <w:rsid w:val="009A6CCB"/>
    <w:rsid w:val="009B5CBB"/>
    <w:rsid w:val="009C192A"/>
    <w:rsid w:val="009C523D"/>
    <w:rsid w:val="009C6C81"/>
    <w:rsid w:val="009E7984"/>
    <w:rsid w:val="009E7F36"/>
    <w:rsid w:val="009F309C"/>
    <w:rsid w:val="00A00097"/>
    <w:rsid w:val="00A01F52"/>
    <w:rsid w:val="00A035D6"/>
    <w:rsid w:val="00A0799E"/>
    <w:rsid w:val="00A1034B"/>
    <w:rsid w:val="00A1159B"/>
    <w:rsid w:val="00A2477C"/>
    <w:rsid w:val="00A24AC9"/>
    <w:rsid w:val="00A2539E"/>
    <w:rsid w:val="00A330E1"/>
    <w:rsid w:val="00A56C3E"/>
    <w:rsid w:val="00A5728A"/>
    <w:rsid w:val="00A60FFC"/>
    <w:rsid w:val="00A63315"/>
    <w:rsid w:val="00A8163E"/>
    <w:rsid w:val="00A83BE1"/>
    <w:rsid w:val="00A84663"/>
    <w:rsid w:val="00A87000"/>
    <w:rsid w:val="00A872E8"/>
    <w:rsid w:val="00A92ADA"/>
    <w:rsid w:val="00A93EC1"/>
    <w:rsid w:val="00AA2BF6"/>
    <w:rsid w:val="00AA516F"/>
    <w:rsid w:val="00AA5AF9"/>
    <w:rsid w:val="00AA6FFE"/>
    <w:rsid w:val="00AB2B14"/>
    <w:rsid w:val="00AB32BA"/>
    <w:rsid w:val="00AC022D"/>
    <w:rsid w:val="00AC059D"/>
    <w:rsid w:val="00AC206F"/>
    <w:rsid w:val="00AC45B8"/>
    <w:rsid w:val="00AD5A2A"/>
    <w:rsid w:val="00AE6647"/>
    <w:rsid w:val="00B0040E"/>
    <w:rsid w:val="00B048F4"/>
    <w:rsid w:val="00B104CE"/>
    <w:rsid w:val="00B20111"/>
    <w:rsid w:val="00B2128D"/>
    <w:rsid w:val="00B21687"/>
    <w:rsid w:val="00B23E90"/>
    <w:rsid w:val="00B25F44"/>
    <w:rsid w:val="00B26FAE"/>
    <w:rsid w:val="00B31704"/>
    <w:rsid w:val="00B32E2D"/>
    <w:rsid w:val="00B34F57"/>
    <w:rsid w:val="00B403B2"/>
    <w:rsid w:val="00B4079D"/>
    <w:rsid w:val="00B40CE0"/>
    <w:rsid w:val="00B47F44"/>
    <w:rsid w:val="00B55433"/>
    <w:rsid w:val="00B609B3"/>
    <w:rsid w:val="00B71D40"/>
    <w:rsid w:val="00B82B3C"/>
    <w:rsid w:val="00B83907"/>
    <w:rsid w:val="00B922A4"/>
    <w:rsid w:val="00B94F92"/>
    <w:rsid w:val="00BA2E7E"/>
    <w:rsid w:val="00BA4EB6"/>
    <w:rsid w:val="00BA65EB"/>
    <w:rsid w:val="00BB24C4"/>
    <w:rsid w:val="00BB2CE8"/>
    <w:rsid w:val="00BB7B19"/>
    <w:rsid w:val="00BC153B"/>
    <w:rsid w:val="00BD20F8"/>
    <w:rsid w:val="00BD3892"/>
    <w:rsid w:val="00BD7796"/>
    <w:rsid w:val="00BD7946"/>
    <w:rsid w:val="00BE419D"/>
    <w:rsid w:val="00BE6820"/>
    <w:rsid w:val="00BE71E6"/>
    <w:rsid w:val="00BF12AC"/>
    <w:rsid w:val="00BF500E"/>
    <w:rsid w:val="00C03071"/>
    <w:rsid w:val="00C04261"/>
    <w:rsid w:val="00C0442A"/>
    <w:rsid w:val="00C13F95"/>
    <w:rsid w:val="00C16BDC"/>
    <w:rsid w:val="00C175AB"/>
    <w:rsid w:val="00C2249C"/>
    <w:rsid w:val="00C264BB"/>
    <w:rsid w:val="00C41CA7"/>
    <w:rsid w:val="00C55D3D"/>
    <w:rsid w:val="00C56CE1"/>
    <w:rsid w:val="00C61AED"/>
    <w:rsid w:val="00C61FEB"/>
    <w:rsid w:val="00C63A46"/>
    <w:rsid w:val="00C677A3"/>
    <w:rsid w:val="00C708E9"/>
    <w:rsid w:val="00C73FCC"/>
    <w:rsid w:val="00C7453D"/>
    <w:rsid w:val="00C8035F"/>
    <w:rsid w:val="00C820A0"/>
    <w:rsid w:val="00C94AEC"/>
    <w:rsid w:val="00CA07B7"/>
    <w:rsid w:val="00CC0379"/>
    <w:rsid w:val="00CC63A7"/>
    <w:rsid w:val="00CC68EF"/>
    <w:rsid w:val="00CD1AD9"/>
    <w:rsid w:val="00CD5BE4"/>
    <w:rsid w:val="00CE1805"/>
    <w:rsid w:val="00CE20F3"/>
    <w:rsid w:val="00CE400C"/>
    <w:rsid w:val="00CE7443"/>
    <w:rsid w:val="00CF0CA0"/>
    <w:rsid w:val="00CF4C18"/>
    <w:rsid w:val="00CF5AAE"/>
    <w:rsid w:val="00D00319"/>
    <w:rsid w:val="00D077D9"/>
    <w:rsid w:val="00D1394C"/>
    <w:rsid w:val="00D13FF1"/>
    <w:rsid w:val="00D177C2"/>
    <w:rsid w:val="00D33DBA"/>
    <w:rsid w:val="00D3429B"/>
    <w:rsid w:val="00D372A0"/>
    <w:rsid w:val="00D405A1"/>
    <w:rsid w:val="00D40C79"/>
    <w:rsid w:val="00D4189F"/>
    <w:rsid w:val="00D60555"/>
    <w:rsid w:val="00D64D06"/>
    <w:rsid w:val="00D6549A"/>
    <w:rsid w:val="00D71910"/>
    <w:rsid w:val="00D73723"/>
    <w:rsid w:val="00D752DB"/>
    <w:rsid w:val="00D76338"/>
    <w:rsid w:val="00D77208"/>
    <w:rsid w:val="00D77EAB"/>
    <w:rsid w:val="00D82FC9"/>
    <w:rsid w:val="00D84230"/>
    <w:rsid w:val="00D847A6"/>
    <w:rsid w:val="00D96738"/>
    <w:rsid w:val="00DA64C0"/>
    <w:rsid w:val="00DA7B81"/>
    <w:rsid w:val="00DB34D1"/>
    <w:rsid w:val="00DC396A"/>
    <w:rsid w:val="00DD4E1A"/>
    <w:rsid w:val="00DE060E"/>
    <w:rsid w:val="00DE62A0"/>
    <w:rsid w:val="00DF4AB0"/>
    <w:rsid w:val="00E04EB4"/>
    <w:rsid w:val="00E053AA"/>
    <w:rsid w:val="00E12B8F"/>
    <w:rsid w:val="00E21865"/>
    <w:rsid w:val="00E25F08"/>
    <w:rsid w:val="00E32476"/>
    <w:rsid w:val="00E360FE"/>
    <w:rsid w:val="00E36C2C"/>
    <w:rsid w:val="00E41E5A"/>
    <w:rsid w:val="00E533C9"/>
    <w:rsid w:val="00E56122"/>
    <w:rsid w:val="00E567A7"/>
    <w:rsid w:val="00E65945"/>
    <w:rsid w:val="00E7451C"/>
    <w:rsid w:val="00E811C9"/>
    <w:rsid w:val="00E842A5"/>
    <w:rsid w:val="00E858DF"/>
    <w:rsid w:val="00E85D73"/>
    <w:rsid w:val="00E86CEE"/>
    <w:rsid w:val="00E917A0"/>
    <w:rsid w:val="00E93E19"/>
    <w:rsid w:val="00E978FB"/>
    <w:rsid w:val="00EA0069"/>
    <w:rsid w:val="00EB16FA"/>
    <w:rsid w:val="00EB2C8E"/>
    <w:rsid w:val="00EC35EF"/>
    <w:rsid w:val="00ED1518"/>
    <w:rsid w:val="00ED2D7A"/>
    <w:rsid w:val="00ED49F5"/>
    <w:rsid w:val="00EF1C0E"/>
    <w:rsid w:val="00EF3B59"/>
    <w:rsid w:val="00EF4D6E"/>
    <w:rsid w:val="00EF7CF6"/>
    <w:rsid w:val="00EF7F31"/>
    <w:rsid w:val="00F016B5"/>
    <w:rsid w:val="00F06DCE"/>
    <w:rsid w:val="00F13F30"/>
    <w:rsid w:val="00F15879"/>
    <w:rsid w:val="00F22886"/>
    <w:rsid w:val="00F242D0"/>
    <w:rsid w:val="00F2493A"/>
    <w:rsid w:val="00F26F9F"/>
    <w:rsid w:val="00F30B0D"/>
    <w:rsid w:val="00F321DB"/>
    <w:rsid w:val="00F528B0"/>
    <w:rsid w:val="00F5406D"/>
    <w:rsid w:val="00F62E1E"/>
    <w:rsid w:val="00F65263"/>
    <w:rsid w:val="00F65F3D"/>
    <w:rsid w:val="00F756B1"/>
    <w:rsid w:val="00F809FB"/>
    <w:rsid w:val="00F81BDC"/>
    <w:rsid w:val="00F83AB9"/>
    <w:rsid w:val="00F93577"/>
    <w:rsid w:val="00F93D32"/>
    <w:rsid w:val="00F93D4E"/>
    <w:rsid w:val="00F97126"/>
    <w:rsid w:val="00FA151F"/>
    <w:rsid w:val="00FA4FD2"/>
    <w:rsid w:val="00FB6B0E"/>
    <w:rsid w:val="00FC1863"/>
    <w:rsid w:val="00FC1CF2"/>
    <w:rsid w:val="00FC40A5"/>
    <w:rsid w:val="00FD0EA7"/>
    <w:rsid w:val="00FD441A"/>
    <w:rsid w:val="00FD5ED5"/>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835F95"/>
    <w:pPr>
      <w:keepNext/>
      <w:outlineLvl w:val="1"/>
    </w:pPr>
    <w:rPr>
      <w:rFonts w:cs="Arial"/>
      <w:b/>
      <w:bCs/>
      <w:iCs/>
      <w:color w:val="FFFFFF" w:themeColor="background1"/>
      <w:sz w:val="40"/>
      <w:szCs w:val="28"/>
    </w:rPr>
  </w:style>
  <w:style w:type="paragraph" w:styleId="Heading3">
    <w:name w:val="heading 3"/>
    <w:basedOn w:val="Normal"/>
    <w:next w:val="Normal"/>
    <w:link w:val="Heading3Char"/>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uiPriority w:val="39"/>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customStyle="1" w:styleId="Heading3Char">
    <w:name w:val="Heading 3 Char"/>
    <w:basedOn w:val="DefaultParagraphFont"/>
    <w:link w:val="Heading3"/>
    <w:rsid w:val="00880092"/>
    <w:rPr>
      <w:rFonts w:ascii="Arial Black" w:hAnsi="Arial Black" w:cs="Arial"/>
      <w:b/>
      <w:bCs/>
      <w:color w:val="BB1822"/>
      <w:sz w:val="28"/>
      <w:szCs w:val="26"/>
    </w:rPr>
  </w:style>
  <w:style w:type="character" w:styleId="UnresolvedMention">
    <w:name w:val="Unresolved Mention"/>
    <w:basedOn w:val="DefaultParagraphFont"/>
    <w:uiPriority w:val="99"/>
    <w:semiHidden/>
    <w:unhideWhenUsed/>
    <w:rsid w:val="00E41E5A"/>
    <w:rPr>
      <w:color w:val="605E5C"/>
      <w:shd w:val="clear" w:color="auto" w:fill="E1DFDD"/>
    </w:rPr>
  </w:style>
  <w:style w:type="table" w:styleId="TableGrid">
    <w:name w:val="Table Grid"/>
    <w:basedOn w:val="TableNormal"/>
    <w:rsid w:val="004D4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xt">
    <w:name w:val="next"/>
    <w:basedOn w:val="ListNumber"/>
    <w:rsid w:val="00363F3E"/>
    <w:pPr>
      <w:numPr>
        <w:numId w:val="0"/>
      </w:numPr>
      <w:overflowPunct w:val="0"/>
      <w:autoSpaceDE w:val="0"/>
      <w:autoSpaceDN w:val="0"/>
      <w:adjustRightInd w:val="0"/>
      <w:spacing w:after="240" w:line="240" w:lineRule="auto"/>
      <w:contextualSpacing w:val="0"/>
      <w:textAlignment w:val="baseline"/>
    </w:pPr>
    <w:rPr>
      <w:szCs w:val="20"/>
      <w:lang w:eastAsia="en-US"/>
    </w:rPr>
  </w:style>
  <w:style w:type="paragraph" w:styleId="ListNumber">
    <w:name w:val="List Number"/>
    <w:basedOn w:val="Normal"/>
    <w:rsid w:val="00363F3E"/>
    <w:pPr>
      <w:numPr>
        <w:numId w:val="7"/>
      </w:numPr>
      <w:tabs>
        <w:tab w:val="num" w:pos="360"/>
      </w:tabs>
      <w:ind w:left="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106">
      <w:bodyDiv w:val="1"/>
      <w:marLeft w:val="0"/>
      <w:marRight w:val="0"/>
      <w:marTop w:val="0"/>
      <w:marBottom w:val="0"/>
      <w:divBdr>
        <w:top w:val="none" w:sz="0" w:space="0" w:color="auto"/>
        <w:left w:val="none" w:sz="0" w:space="0" w:color="auto"/>
        <w:bottom w:val="none" w:sz="0" w:space="0" w:color="auto"/>
        <w:right w:val="none" w:sz="0" w:space="0" w:color="auto"/>
      </w:divBdr>
    </w:div>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214002082">
      <w:bodyDiv w:val="1"/>
      <w:marLeft w:val="0"/>
      <w:marRight w:val="0"/>
      <w:marTop w:val="0"/>
      <w:marBottom w:val="0"/>
      <w:divBdr>
        <w:top w:val="none" w:sz="0" w:space="0" w:color="auto"/>
        <w:left w:val="none" w:sz="0" w:space="0" w:color="auto"/>
        <w:bottom w:val="none" w:sz="0" w:space="0" w:color="auto"/>
        <w:right w:val="none" w:sz="0" w:space="0" w:color="auto"/>
      </w:divBdr>
    </w:div>
    <w:div w:id="238372590">
      <w:bodyDiv w:val="1"/>
      <w:marLeft w:val="0"/>
      <w:marRight w:val="0"/>
      <w:marTop w:val="0"/>
      <w:marBottom w:val="0"/>
      <w:divBdr>
        <w:top w:val="none" w:sz="0" w:space="0" w:color="auto"/>
        <w:left w:val="none" w:sz="0" w:space="0" w:color="auto"/>
        <w:bottom w:val="none" w:sz="0" w:space="0" w:color="auto"/>
        <w:right w:val="none" w:sz="0" w:space="0" w:color="auto"/>
      </w:divBdr>
    </w:div>
    <w:div w:id="266548785">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 w:id="405610797">
      <w:bodyDiv w:val="1"/>
      <w:marLeft w:val="0"/>
      <w:marRight w:val="0"/>
      <w:marTop w:val="0"/>
      <w:marBottom w:val="0"/>
      <w:divBdr>
        <w:top w:val="none" w:sz="0" w:space="0" w:color="auto"/>
        <w:left w:val="none" w:sz="0" w:space="0" w:color="auto"/>
        <w:bottom w:val="none" w:sz="0" w:space="0" w:color="auto"/>
        <w:right w:val="none" w:sz="0" w:space="0" w:color="auto"/>
      </w:divBdr>
    </w:div>
    <w:div w:id="581528120">
      <w:bodyDiv w:val="1"/>
      <w:marLeft w:val="0"/>
      <w:marRight w:val="0"/>
      <w:marTop w:val="0"/>
      <w:marBottom w:val="0"/>
      <w:divBdr>
        <w:top w:val="none" w:sz="0" w:space="0" w:color="auto"/>
        <w:left w:val="none" w:sz="0" w:space="0" w:color="auto"/>
        <w:bottom w:val="none" w:sz="0" w:space="0" w:color="auto"/>
        <w:right w:val="none" w:sz="0" w:space="0" w:color="auto"/>
      </w:divBdr>
    </w:div>
    <w:div w:id="597951219">
      <w:bodyDiv w:val="1"/>
      <w:marLeft w:val="0"/>
      <w:marRight w:val="0"/>
      <w:marTop w:val="0"/>
      <w:marBottom w:val="0"/>
      <w:divBdr>
        <w:top w:val="none" w:sz="0" w:space="0" w:color="auto"/>
        <w:left w:val="none" w:sz="0" w:space="0" w:color="auto"/>
        <w:bottom w:val="none" w:sz="0" w:space="0" w:color="auto"/>
        <w:right w:val="none" w:sz="0" w:space="0" w:color="auto"/>
      </w:divBdr>
    </w:div>
    <w:div w:id="618754773">
      <w:bodyDiv w:val="1"/>
      <w:marLeft w:val="0"/>
      <w:marRight w:val="0"/>
      <w:marTop w:val="0"/>
      <w:marBottom w:val="0"/>
      <w:divBdr>
        <w:top w:val="none" w:sz="0" w:space="0" w:color="auto"/>
        <w:left w:val="none" w:sz="0" w:space="0" w:color="auto"/>
        <w:bottom w:val="none" w:sz="0" w:space="0" w:color="auto"/>
        <w:right w:val="none" w:sz="0" w:space="0" w:color="auto"/>
      </w:divBdr>
    </w:div>
    <w:div w:id="677197579">
      <w:bodyDiv w:val="1"/>
      <w:marLeft w:val="0"/>
      <w:marRight w:val="0"/>
      <w:marTop w:val="0"/>
      <w:marBottom w:val="0"/>
      <w:divBdr>
        <w:top w:val="none" w:sz="0" w:space="0" w:color="auto"/>
        <w:left w:val="none" w:sz="0" w:space="0" w:color="auto"/>
        <w:bottom w:val="none" w:sz="0" w:space="0" w:color="auto"/>
        <w:right w:val="none" w:sz="0" w:space="0" w:color="auto"/>
      </w:divBdr>
    </w:div>
    <w:div w:id="720791354">
      <w:bodyDiv w:val="1"/>
      <w:marLeft w:val="0"/>
      <w:marRight w:val="0"/>
      <w:marTop w:val="0"/>
      <w:marBottom w:val="0"/>
      <w:divBdr>
        <w:top w:val="none" w:sz="0" w:space="0" w:color="auto"/>
        <w:left w:val="none" w:sz="0" w:space="0" w:color="auto"/>
        <w:bottom w:val="none" w:sz="0" w:space="0" w:color="auto"/>
        <w:right w:val="none" w:sz="0" w:space="0" w:color="auto"/>
      </w:divBdr>
    </w:div>
    <w:div w:id="765806659">
      <w:bodyDiv w:val="1"/>
      <w:marLeft w:val="0"/>
      <w:marRight w:val="0"/>
      <w:marTop w:val="0"/>
      <w:marBottom w:val="0"/>
      <w:divBdr>
        <w:top w:val="none" w:sz="0" w:space="0" w:color="auto"/>
        <w:left w:val="none" w:sz="0" w:space="0" w:color="auto"/>
        <w:bottom w:val="none" w:sz="0" w:space="0" w:color="auto"/>
        <w:right w:val="none" w:sz="0" w:space="0" w:color="auto"/>
      </w:divBdr>
    </w:div>
    <w:div w:id="924610034">
      <w:bodyDiv w:val="1"/>
      <w:marLeft w:val="0"/>
      <w:marRight w:val="0"/>
      <w:marTop w:val="0"/>
      <w:marBottom w:val="0"/>
      <w:divBdr>
        <w:top w:val="none" w:sz="0" w:space="0" w:color="auto"/>
        <w:left w:val="none" w:sz="0" w:space="0" w:color="auto"/>
        <w:bottom w:val="none" w:sz="0" w:space="0" w:color="auto"/>
        <w:right w:val="none" w:sz="0" w:space="0" w:color="auto"/>
      </w:divBdr>
    </w:div>
    <w:div w:id="1030182415">
      <w:bodyDiv w:val="1"/>
      <w:marLeft w:val="0"/>
      <w:marRight w:val="0"/>
      <w:marTop w:val="0"/>
      <w:marBottom w:val="0"/>
      <w:divBdr>
        <w:top w:val="none" w:sz="0" w:space="0" w:color="auto"/>
        <w:left w:val="none" w:sz="0" w:space="0" w:color="auto"/>
        <w:bottom w:val="none" w:sz="0" w:space="0" w:color="auto"/>
        <w:right w:val="none" w:sz="0" w:space="0" w:color="auto"/>
      </w:divBdr>
    </w:div>
    <w:div w:id="1075975440">
      <w:bodyDiv w:val="1"/>
      <w:marLeft w:val="0"/>
      <w:marRight w:val="0"/>
      <w:marTop w:val="0"/>
      <w:marBottom w:val="0"/>
      <w:divBdr>
        <w:top w:val="none" w:sz="0" w:space="0" w:color="auto"/>
        <w:left w:val="none" w:sz="0" w:space="0" w:color="auto"/>
        <w:bottom w:val="none" w:sz="0" w:space="0" w:color="auto"/>
        <w:right w:val="none" w:sz="0" w:space="0" w:color="auto"/>
      </w:divBdr>
    </w:div>
    <w:div w:id="1142036016">
      <w:bodyDiv w:val="1"/>
      <w:marLeft w:val="0"/>
      <w:marRight w:val="0"/>
      <w:marTop w:val="0"/>
      <w:marBottom w:val="0"/>
      <w:divBdr>
        <w:top w:val="none" w:sz="0" w:space="0" w:color="auto"/>
        <w:left w:val="none" w:sz="0" w:space="0" w:color="auto"/>
        <w:bottom w:val="none" w:sz="0" w:space="0" w:color="auto"/>
        <w:right w:val="none" w:sz="0" w:space="0" w:color="auto"/>
      </w:divBdr>
    </w:div>
    <w:div w:id="1152019981">
      <w:bodyDiv w:val="1"/>
      <w:marLeft w:val="0"/>
      <w:marRight w:val="0"/>
      <w:marTop w:val="0"/>
      <w:marBottom w:val="0"/>
      <w:divBdr>
        <w:top w:val="none" w:sz="0" w:space="0" w:color="auto"/>
        <w:left w:val="none" w:sz="0" w:space="0" w:color="auto"/>
        <w:bottom w:val="none" w:sz="0" w:space="0" w:color="auto"/>
        <w:right w:val="none" w:sz="0" w:space="0" w:color="auto"/>
      </w:divBdr>
    </w:div>
    <w:div w:id="1225946475">
      <w:bodyDiv w:val="1"/>
      <w:marLeft w:val="0"/>
      <w:marRight w:val="0"/>
      <w:marTop w:val="0"/>
      <w:marBottom w:val="0"/>
      <w:divBdr>
        <w:top w:val="none" w:sz="0" w:space="0" w:color="auto"/>
        <w:left w:val="none" w:sz="0" w:space="0" w:color="auto"/>
        <w:bottom w:val="none" w:sz="0" w:space="0" w:color="auto"/>
        <w:right w:val="none" w:sz="0" w:space="0" w:color="auto"/>
      </w:divBdr>
    </w:div>
    <w:div w:id="1246305634">
      <w:bodyDiv w:val="1"/>
      <w:marLeft w:val="0"/>
      <w:marRight w:val="0"/>
      <w:marTop w:val="0"/>
      <w:marBottom w:val="0"/>
      <w:divBdr>
        <w:top w:val="none" w:sz="0" w:space="0" w:color="auto"/>
        <w:left w:val="none" w:sz="0" w:space="0" w:color="auto"/>
        <w:bottom w:val="none" w:sz="0" w:space="0" w:color="auto"/>
        <w:right w:val="none" w:sz="0" w:space="0" w:color="auto"/>
      </w:divBdr>
    </w:div>
    <w:div w:id="1277984059">
      <w:bodyDiv w:val="1"/>
      <w:marLeft w:val="0"/>
      <w:marRight w:val="0"/>
      <w:marTop w:val="0"/>
      <w:marBottom w:val="0"/>
      <w:divBdr>
        <w:top w:val="none" w:sz="0" w:space="0" w:color="auto"/>
        <w:left w:val="none" w:sz="0" w:space="0" w:color="auto"/>
        <w:bottom w:val="none" w:sz="0" w:space="0" w:color="auto"/>
        <w:right w:val="none" w:sz="0" w:space="0" w:color="auto"/>
      </w:divBdr>
      <w:divsChild>
        <w:div w:id="763497190">
          <w:marLeft w:val="0"/>
          <w:marRight w:val="0"/>
          <w:marTop w:val="0"/>
          <w:marBottom w:val="300"/>
          <w:divBdr>
            <w:top w:val="none" w:sz="0" w:space="0" w:color="auto"/>
            <w:left w:val="none" w:sz="0" w:space="0" w:color="auto"/>
            <w:bottom w:val="none" w:sz="0" w:space="0" w:color="auto"/>
            <w:right w:val="none" w:sz="0" w:space="0" w:color="auto"/>
          </w:divBdr>
        </w:div>
        <w:div w:id="891117031">
          <w:marLeft w:val="0"/>
          <w:marRight w:val="0"/>
          <w:marTop w:val="0"/>
          <w:marBottom w:val="300"/>
          <w:divBdr>
            <w:top w:val="none" w:sz="0" w:space="0" w:color="auto"/>
            <w:left w:val="none" w:sz="0" w:space="0" w:color="auto"/>
            <w:bottom w:val="none" w:sz="0" w:space="0" w:color="auto"/>
            <w:right w:val="none" w:sz="0" w:space="0" w:color="auto"/>
          </w:divBdr>
        </w:div>
        <w:div w:id="32775244">
          <w:marLeft w:val="0"/>
          <w:marRight w:val="0"/>
          <w:marTop w:val="0"/>
          <w:marBottom w:val="300"/>
          <w:divBdr>
            <w:top w:val="none" w:sz="0" w:space="0" w:color="auto"/>
            <w:left w:val="none" w:sz="0" w:space="0" w:color="auto"/>
            <w:bottom w:val="none" w:sz="0" w:space="0" w:color="auto"/>
            <w:right w:val="none" w:sz="0" w:space="0" w:color="auto"/>
          </w:divBdr>
        </w:div>
        <w:div w:id="1833178057">
          <w:marLeft w:val="0"/>
          <w:marRight w:val="0"/>
          <w:marTop w:val="0"/>
          <w:marBottom w:val="300"/>
          <w:divBdr>
            <w:top w:val="none" w:sz="0" w:space="0" w:color="auto"/>
            <w:left w:val="none" w:sz="0" w:space="0" w:color="auto"/>
            <w:bottom w:val="none" w:sz="0" w:space="0" w:color="auto"/>
            <w:right w:val="none" w:sz="0" w:space="0" w:color="auto"/>
          </w:divBdr>
        </w:div>
        <w:div w:id="1421490152">
          <w:marLeft w:val="0"/>
          <w:marRight w:val="0"/>
          <w:marTop w:val="0"/>
          <w:marBottom w:val="300"/>
          <w:divBdr>
            <w:top w:val="none" w:sz="0" w:space="0" w:color="auto"/>
            <w:left w:val="none" w:sz="0" w:space="0" w:color="auto"/>
            <w:bottom w:val="none" w:sz="0" w:space="0" w:color="auto"/>
            <w:right w:val="none" w:sz="0" w:space="0" w:color="auto"/>
          </w:divBdr>
        </w:div>
        <w:div w:id="1203441167">
          <w:marLeft w:val="0"/>
          <w:marRight w:val="0"/>
          <w:marTop w:val="0"/>
          <w:marBottom w:val="300"/>
          <w:divBdr>
            <w:top w:val="none" w:sz="0" w:space="0" w:color="auto"/>
            <w:left w:val="none" w:sz="0" w:space="0" w:color="auto"/>
            <w:bottom w:val="none" w:sz="0" w:space="0" w:color="auto"/>
            <w:right w:val="none" w:sz="0" w:space="0" w:color="auto"/>
          </w:divBdr>
        </w:div>
        <w:div w:id="1516068470">
          <w:marLeft w:val="0"/>
          <w:marRight w:val="0"/>
          <w:marTop w:val="0"/>
          <w:marBottom w:val="300"/>
          <w:divBdr>
            <w:top w:val="none" w:sz="0" w:space="0" w:color="auto"/>
            <w:left w:val="none" w:sz="0" w:space="0" w:color="auto"/>
            <w:bottom w:val="none" w:sz="0" w:space="0" w:color="auto"/>
            <w:right w:val="none" w:sz="0" w:space="0" w:color="auto"/>
          </w:divBdr>
        </w:div>
      </w:divsChild>
    </w:div>
    <w:div w:id="1311330643">
      <w:bodyDiv w:val="1"/>
      <w:marLeft w:val="0"/>
      <w:marRight w:val="0"/>
      <w:marTop w:val="0"/>
      <w:marBottom w:val="0"/>
      <w:divBdr>
        <w:top w:val="none" w:sz="0" w:space="0" w:color="auto"/>
        <w:left w:val="none" w:sz="0" w:space="0" w:color="auto"/>
        <w:bottom w:val="none" w:sz="0" w:space="0" w:color="auto"/>
        <w:right w:val="none" w:sz="0" w:space="0" w:color="auto"/>
      </w:divBdr>
    </w:div>
    <w:div w:id="1417559183">
      <w:bodyDiv w:val="1"/>
      <w:marLeft w:val="0"/>
      <w:marRight w:val="0"/>
      <w:marTop w:val="0"/>
      <w:marBottom w:val="0"/>
      <w:divBdr>
        <w:top w:val="none" w:sz="0" w:space="0" w:color="auto"/>
        <w:left w:val="none" w:sz="0" w:space="0" w:color="auto"/>
        <w:bottom w:val="none" w:sz="0" w:space="0" w:color="auto"/>
        <w:right w:val="none" w:sz="0" w:space="0" w:color="auto"/>
      </w:divBdr>
    </w:div>
    <w:div w:id="1461269224">
      <w:bodyDiv w:val="1"/>
      <w:marLeft w:val="0"/>
      <w:marRight w:val="0"/>
      <w:marTop w:val="0"/>
      <w:marBottom w:val="0"/>
      <w:divBdr>
        <w:top w:val="none" w:sz="0" w:space="0" w:color="auto"/>
        <w:left w:val="none" w:sz="0" w:space="0" w:color="auto"/>
        <w:bottom w:val="none" w:sz="0" w:space="0" w:color="auto"/>
        <w:right w:val="none" w:sz="0" w:space="0" w:color="auto"/>
      </w:divBdr>
    </w:div>
    <w:div w:id="1464733918">
      <w:bodyDiv w:val="1"/>
      <w:marLeft w:val="0"/>
      <w:marRight w:val="0"/>
      <w:marTop w:val="0"/>
      <w:marBottom w:val="0"/>
      <w:divBdr>
        <w:top w:val="none" w:sz="0" w:space="0" w:color="auto"/>
        <w:left w:val="none" w:sz="0" w:space="0" w:color="auto"/>
        <w:bottom w:val="none" w:sz="0" w:space="0" w:color="auto"/>
        <w:right w:val="none" w:sz="0" w:space="0" w:color="auto"/>
      </w:divBdr>
    </w:div>
    <w:div w:id="1467553842">
      <w:bodyDiv w:val="1"/>
      <w:marLeft w:val="0"/>
      <w:marRight w:val="0"/>
      <w:marTop w:val="0"/>
      <w:marBottom w:val="0"/>
      <w:divBdr>
        <w:top w:val="none" w:sz="0" w:space="0" w:color="auto"/>
        <w:left w:val="none" w:sz="0" w:space="0" w:color="auto"/>
        <w:bottom w:val="none" w:sz="0" w:space="0" w:color="auto"/>
        <w:right w:val="none" w:sz="0" w:space="0" w:color="auto"/>
      </w:divBdr>
      <w:divsChild>
        <w:div w:id="1474366974">
          <w:marLeft w:val="0"/>
          <w:marRight w:val="0"/>
          <w:marTop w:val="0"/>
          <w:marBottom w:val="300"/>
          <w:divBdr>
            <w:top w:val="none" w:sz="0" w:space="0" w:color="auto"/>
            <w:left w:val="none" w:sz="0" w:space="0" w:color="auto"/>
            <w:bottom w:val="none" w:sz="0" w:space="0" w:color="auto"/>
            <w:right w:val="none" w:sz="0" w:space="0" w:color="auto"/>
          </w:divBdr>
        </w:div>
        <w:div w:id="1666781367">
          <w:marLeft w:val="0"/>
          <w:marRight w:val="0"/>
          <w:marTop w:val="0"/>
          <w:marBottom w:val="300"/>
          <w:divBdr>
            <w:top w:val="none" w:sz="0" w:space="0" w:color="auto"/>
            <w:left w:val="none" w:sz="0" w:space="0" w:color="auto"/>
            <w:bottom w:val="none" w:sz="0" w:space="0" w:color="auto"/>
            <w:right w:val="none" w:sz="0" w:space="0" w:color="auto"/>
          </w:divBdr>
        </w:div>
        <w:div w:id="1096633499">
          <w:marLeft w:val="0"/>
          <w:marRight w:val="0"/>
          <w:marTop w:val="0"/>
          <w:marBottom w:val="300"/>
          <w:divBdr>
            <w:top w:val="none" w:sz="0" w:space="0" w:color="auto"/>
            <w:left w:val="none" w:sz="0" w:space="0" w:color="auto"/>
            <w:bottom w:val="none" w:sz="0" w:space="0" w:color="auto"/>
            <w:right w:val="none" w:sz="0" w:space="0" w:color="auto"/>
          </w:divBdr>
        </w:div>
        <w:div w:id="193077675">
          <w:marLeft w:val="0"/>
          <w:marRight w:val="0"/>
          <w:marTop w:val="0"/>
          <w:marBottom w:val="300"/>
          <w:divBdr>
            <w:top w:val="none" w:sz="0" w:space="0" w:color="auto"/>
            <w:left w:val="none" w:sz="0" w:space="0" w:color="auto"/>
            <w:bottom w:val="none" w:sz="0" w:space="0" w:color="auto"/>
            <w:right w:val="none" w:sz="0" w:space="0" w:color="auto"/>
          </w:divBdr>
        </w:div>
        <w:div w:id="1800567137">
          <w:marLeft w:val="0"/>
          <w:marRight w:val="0"/>
          <w:marTop w:val="0"/>
          <w:marBottom w:val="300"/>
          <w:divBdr>
            <w:top w:val="none" w:sz="0" w:space="0" w:color="auto"/>
            <w:left w:val="none" w:sz="0" w:space="0" w:color="auto"/>
            <w:bottom w:val="none" w:sz="0" w:space="0" w:color="auto"/>
            <w:right w:val="none" w:sz="0" w:space="0" w:color="auto"/>
          </w:divBdr>
        </w:div>
        <w:div w:id="676544820">
          <w:marLeft w:val="0"/>
          <w:marRight w:val="0"/>
          <w:marTop w:val="0"/>
          <w:marBottom w:val="300"/>
          <w:divBdr>
            <w:top w:val="none" w:sz="0" w:space="0" w:color="auto"/>
            <w:left w:val="none" w:sz="0" w:space="0" w:color="auto"/>
            <w:bottom w:val="none" w:sz="0" w:space="0" w:color="auto"/>
            <w:right w:val="none" w:sz="0" w:space="0" w:color="auto"/>
          </w:divBdr>
        </w:div>
        <w:div w:id="322664581">
          <w:marLeft w:val="0"/>
          <w:marRight w:val="0"/>
          <w:marTop w:val="0"/>
          <w:marBottom w:val="300"/>
          <w:divBdr>
            <w:top w:val="none" w:sz="0" w:space="0" w:color="auto"/>
            <w:left w:val="none" w:sz="0" w:space="0" w:color="auto"/>
            <w:bottom w:val="none" w:sz="0" w:space="0" w:color="auto"/>
            <w:right w:val="none" w:sz="0" w:space="0" w:color="auto"/>
          </w:divBdr>
        </w:div>
      </w:divsChild>
    </w:div>
    <w:div w:id="1567063260">
      <w:bodyDiv w:val="1"/>
      <w:marLeft w:val="0"/>
      <w:marRight w:val="0"/>
      <w:marTop w:val="0"/>
      <w:marBottom w:val="0"/>
      <w:divBdr>
        <w:top w:val="none" w:sz="0" w:space="0" w:color="auto"/>
        <w:left w:val="none" w:sz="0" w:space="0" w:color="auto"/>
        <w:bottom w:val="none" w:sz="0" w:space="0" w:color="auto"/>
        <w:right w:val="none" w:sz="0" w:space="0" w:color="auto"/>
      </w:divBdr>
    </w:div>
    <w:div w:id="1647054742">
      <w:bodyDiv w:val="1"/>
      <w:marLeft w:val="0"/>
      <w:marRight w:val="0"/>
      <w:marTop w:val="0"/>
      <w:marBottom w:val="0"/>
      <w:divBdr>
        <w:top w:val="none" w:sz="0" w:space="0" w:color="auto"/>
        <w:left w:val="none" w:sz="0" w:space="0" w:color="auto"/>
        <w:bottom w:val="none" w:sz="0" w:space="0" w:color="auto"/>
        <w:right w:val="none" w:sz="0" w:space="0" w:color="auto"/>
      </w:divBdr>
    </w:div>
    <w:div w:id="1753316660">
      <w:bodyDiv w:val="1"/>
      <w:marLeft w:val="0"/>
      <w:marRight w:val="0"/>
      <w:marTop w:val="0"/>
      <w:marBottom w:val="0"/>
      <w:divBdr>
        <w:top w:val="none" w:sz="0" w:space="0" w:color="auto"/>
        <w:left w:val="none" w:sz="0" w:space="0" w:color="auto"/>
        <w:bottom w:val="none" w:sz="0" w:space="0" w:color="auto"/>
        <w:right w:val="none" w:sz="0" w:space="0" w:color="auto"/>
      </w:divBdr>
    </w:div>
    <w:div w:id="1984893853">
      <w:bodyDiv w:val="1"/>
      <w:marLeft w:val="0"/>
      <w:marRight w:val="0"/>
      <w:marTop w:val="0"/>
      <w:marBottom w:val="0"/>
      <w:divBdr>
        <w:top w:val="none" w:sz="0" w:space="0" w:color="auto"/>
        <w:left w:val="none" w:sz="0" w:space="0" w:color="auto"/>
        <w:bottom w:val="none" w:sz="0" w:space="0" w:color="auto"/>
        <w:right w:val="none" w:sz="0" w:space="0" w:color="auto"/>
      </w:divBdr>
    </w:div>
    <w:div w:id="1998338432">
      <w:bodyDiv w:val="1"/>
      <w:marLeft w:val="0"/>
      <w:marRight w:val="0"/>
      <w:marTop w:val="0"/>
      <w:marBottom w:val="0"/>
      <w:divBdr>
        <w:top w:val="none" w:sz="0" w:space="0" w:color="auto"/>
        <w:left w:val="none" w:sz="0" w:space="0" w:color="auto"/>
        <w:bottom w:val="none" w:sz="0" w:space="0" w:color="auto"/>
        <w:right w:val="none" w:sz="0" w:space="0" w:color="auto"/>
      </w:divBdr>
    </w:div>
    <w:div w:id="2094426721">
      <w:bodyDiv w:val="1"/>
      <w:marLeft w:val="0"/>
      <w:marRight w:val="0"/>
      <w:marTop w:val="0"/>
      <w:marBottom w:val="0"/>
      <w:divBdr>
        <w:top w:val="none" w:sz="0" w:space="0" w:color="auto"/>
        <w:left w:val="none" w:sz="0" w:space="0" w:color="auto"/>
        <w:bottom w:val="none" w:sz="0" w:space="0" w:color="auto"/>
        <w:right w:val="none" w:sz="0" w:space="0" w:color="auto"/>
      </w:divBdr>
    </w:div>
    <w:div w:id="2142072686">
      <w:bodyDiv w:val="1"/>
      <w:marLeft w:val="0"/>
      <w:marRight w:val="0"/>
      <w:marTop w:val="0"/>
      <w:marBottom w:val="0"/>
      <w:divBdr>
        <w:top w:val="none" w:sz="0" w:space="0" w:color="auto"/>
        <w:left w:val="none" w:sz="0" w:space="0" w:color="auto"/>
        <w:bottom w:val="none" w:sz="0" w:space="0" w:color="auto"/>
        <w:right w:val="none" w:sz="0" w:space="0" w:color="auto"/>
      </w:divBdr>
    </w:div>
    <w:div w:id="214330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hyperlink" Target="mailto:sensitive@dbs.gov.uk" TargetMode="External"/><Relationship Id="rId26" Type="http://schemas.openxmlformats.org/officeDocument/2006/relationships/hyperlink" Target="https://www.gov.uk/get-access-evisa" TargetMode="External"/><Relationship Id="rId21" Type="http://schemas.openxmlformats.org/officeDocument/2006/relationships/hyperlink" Target="https://www.gov.uk/government/collections/dbs-update-service-promotional-material"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publications/dbs-guidance-leaflets" TargetMode="External"/><Relationship Id="rId17" Type="http://schemas.openxmlformats.org/officeDocument/2006/relationships/hyperlink" Target="https://www.gov.uk/government/collections/dbs-filtering-guidance" TargetMode="External"/><Relationship Id="rId25" Type="http://schemas.openxmlformats.org/officeDocument/2006/relationships/hyperlink" Target="https://www.gov.uk/guidance/transgender-application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recruitment@cumbriafire.gov.uk" TargetMode="External"/><Relationship Id="rId20" Type="http://schemas.openxmlformats.org/officeDocument/2006/relationships/hyperlink" Target="https://www.gov.uk/government/collections/dbs-update-service-promotional-material" TargetMode="External"/><Relationship Id="rId29" Type="http://schemas.openxmlformats.org/officeDocument/2006/relationships/hyperlink" Target="http://www.fco.gov.uk/en/travel-and-living-abroad/foreign-embassies-in-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ouch.ccc/elibrary/Content/Intranet/536/671/5053/6001/41410105256.doc" TargetMode="External"/><Relationship Id="rId24" Type="http://schemas.openxmlformats.org/officeDocument/2006/relationships/hyperlink" Target="https://www.gov.uk/government/publications/dbs-continuation-shee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047848/Adult_workforce_guide_v11.0_18012022.pdf" TargetMode="External"/><Relationship Id="rId23" Type="http://schemas.openxmlformats.org/officeDocument/2006/relationships/hyperlink" Target="https://www.gov.uk/government/publications/dbs-unusual-addresses-guidance/dbs-unusual-addresses-guide" TargetMode="External"/><Relationship Id="rId28" Type="http://schemas.openxmlformats.org/officeDocument/2006/relationships/hyperlink" Target="https://www.gov.uk/government/publications/criminal-records-checks-for-overseas-applicant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uidance/transgender-application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804668/Child_workforce_guide_v10_0_28052019.pdf" TargetMode="External"/><Relationship Id="rId22" Type="http://schemas.openxmlformats.org/officeDocument/2006/relationships/hyperlink" Target="https://www.gov.uk/employee-immigration-employment-status" TargetMode="External"/><Relationship Id="rId27" Type="http://schemas.openxmlformats.org/officeDocument/2006/relationships/hyperlink" Target="https://www.gov.uk/employee-immigration-employment-status"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SharedWithUsers xmlns="d825955d-c47e-4fd7-8874-018c5c37d6f9">
      <UserInfo>
        <DisplayName>Hodgson, Caroline J</DisplayName>
        <AccountId>22</AccountId>
        <AccountType/>
      </UserInfo>
      <UserInfo>
        <DisplayName>Holton, Sarah</DisplayName>
        <AccountId>63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9" ma:contentTypeDescription="Create a new document." ma:contentTypeScope="" ma:versionID="7bbfbd43ea94956c1a7aee4903264827">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2c9958cd79085cede58fc1b2d348d7c7"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58A8E-C506-4E2E-93B3-8BACA3352CB5}">
  <ds:schemaRefs>
    <ds:schemaRef ds:uri="http://schemas.microsoft.com/office/2006/metadata/properties"/>
    <ds:schemaRef ds:uri="http://schemas.microsoft.com/office/infopath/2007/PartnerControls"/>
    <ds:schemaRef ds:uri="a1a3e32b-2f61-4ed2-8005-4759f7176664"/>
    <ds:schemaRef ds:uri="c2b36edf-d6b4-4d40-9417-44b51de556ab"/>
    <ds:schemaRef ds:uri="d825955d-c47e-4fd7-8874-018c5c37d6f9"/>
  </ds:schemaRefs>
</ds:datastoreItem>
</file>

<file path=customXml/itemProps2.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3.xml><?xml version="1.0" encoding="utf-8"?>
<ds:datastoreItem xmlns:ds="http://schemas.openxmlformats.org/officeDocument/2006/customXml" ds:itemID="{D6AE1396-B8AC-41C7-BDCE-9E1997DAF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3EE2D5-B1F3-459B-99C6-7448C453D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6885</Words>
  <Characters>38317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45112</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Wright, Orlanda</cp:lastModifiedBy>
  <cp:revision>4</cp:revision>
  <cp:lastPrinted>2017-10-10T09:12:00Z</cp:lastPrinted>
  <dcterms:created xsi:type="dcterms:W3CDTF">2025-10-10T11:05:00Z</dcterms:created>
  <dcterms:modified xsi:type="dcterms:W3CDTF">2025-10-10T11:13:00Z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ies>
</file>