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9D36562" w14:textId="7991176D" w:rsidR="000E2C35" w:rsidRPr="009C6C81" w:rsidRDefault="00EB2C8E" w:rsidP="00835F95">
      <w:pPr>
        <w:pStyle w:val="Heading1"/>
      </w:pPr>
      <w:r>
        <w:rPr>
          <w:color w:val="A92530"/>
        </w:rPr>
        <w:br/>
      </w:r>
      <w:r w:rsidRPr="009C6C81">
        <w:rPr>
          <w:noProof/>
        </w:rPr>
        <mc:AlternateContent>
          <mc:Choice Requires="wps">
            <w:drawing>
              <wp:anchor distT="0" distB="0" distL="114300" distR="114300" simplePos="0" relativeHeight="251659264" behindDoc="0" locked="0" layoutInCell="1" allowOverlap="1" wp14:anchorId="6AA4C5AE" wp14:editId="3553B985">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1"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93938" strokecolor="white [3212]" strokeweight="2pt" w14:anchorId="69D9F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w:pict>
          </mc:Fallback>
        </mc:AlternateContent>
      </w:r>
      <w:r w:rsidRPr="009C6C81">
        <w:rPr>
          <w:noProof/>
        </w:rPr>
        <mc:AlternateContent>
          <mc:Choice Requires="wps">
            <w:drawing>
              <wp:anchor distT="0" distB="0" distL="114300" distR="114300" simplePos="0" relativeHeight="251660288" behindDoc="0" locked="0" layoutInCell="1" allowOverlap="1" wp14:anchorId="28B1C02A" wp14:editId="5D88233F">
                <wp:simplePos x="0" y="0"/>
                <wp:positionH relativeFrom="column">
                  <wp:posOffset>4281170</wp:posOffset>
                </wp:positionH>
                <wp:positionV relativeFrom="paragraph">
                  <wp:posOffset>232674</wp:posOffset>
                </wp:positionV>
                <wp:extent cx="2590165" cy="9747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74785"/>
                        </a:xfrm>
                        <a:prstGeom prst="rect">
                          <a:avLst/>
                        </a:prstGeom>
                        <a:noFill/>
                        <a:ln w="9525">
                          <a:noFill/>
                          <a:miter lim="800000"/>
                          <a:headEnd/>
                          <a:tailEnd/>
                        </a:ln>
                      </wps:spPr>
                      <wps:txbx>
                        <w:txbxContent>
                          <w:p w14:paraId="5FE02206" w14:textId="510D7552" w:rsidR="00282847" w:rsidRDefault="002E699A" w:rsidP="00835F95">
                            <w:pPr>
                              <w:pStyle w:val="Heading2"/>
                            </w:pPr>
                            <w:r>
                              <w:t>Workplace Injury/Illness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8B1C02A">
                <v:stroke joinstyle="miter"/>
                <v:path gradientshapeok="t" o:connecttype="rect"/>
              </v:shapetype>
              <v:shape id="Text Box 2" style="position:absolute;margin-left:337.1pt;margin-top:18.3pt;width:203.95pt;height:76.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">
                <v:textbox>
                  <w:txbxContent>
                    <w:p w:rsidR="00282847" w:rsidP="00835F95" w:rsidRDefault="002E699A" w14:paraId="5FE02206" w14:textId="510D7552">
                      <w:pPr>
                        <w:pStyle w:val="Heading2"/>
                      </w:pPr>
                      <w:r>
                        <w:t>Workplace Injury/Illness</w:t>
                      </w:r>
                    </w:p>
                  </w:txbxContent>
                </v:textbox>
              </v:shape>
            </w:pict>
          </mc:Fallback>
        </mc:AlternateContent>
      </w:r>
      <w:r w:rsidR="002E699A">
        <w:rPr>
          <w:noProof/>
        </w:rPr>
        <w:t>HR</w:t>
      </w:r>
      <w:r w:rsidR="00723434">
        <w:rPr>
          <w:noProof/>
        </w:rPr>
        <w:br/>
      </w:r>
      <w:r w:rsidR="002E699A">
        <w:t>Guidance</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C43E29E">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D13FF1" w:rsidRPr="00440B9D" w14:paraId="0302B46F" w14:textId="77777777" w:rsidTr="0C43E29E">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2E699A" w:rsidRDefault="00D13FF1" w:rsidP="0C43E29E">
            <w:pPr>
              <w:spacing w:line="276" w:lineRule="auto"/>
              <w:jc w:val="center"/>
              <w:rPr>
                <w:rFonts w:cs="Arial"/>
                <w:color w:val="000000" w:themeColor="text1"/>
              </w:rPr>
            </w:pPr>
            <w:r w:rsidRPr="0C43E29E">
              <w:rPr>
                <w:rFonts w:cs="Arial"/>
                <w:color w:val="000000" w:themeColor="text1"/>
              </w:rPr>
              <w:t>Version 1</w:t>
            </w:r>
          </w:p>
          <w:p w14:paraId="0B3A911E" w14:textId="7ACB4B0B" w:rsidR="00D13FF1" w:rsidRPr="002E699A" w:rsidRDefault="002E699A" w:rsidP="0C43E29E">
            <w:pPr>
              <w:spacing w:line="276" w:lineRule="auto"/>
              <w:jc w:val="center"/>
              <w:rPr>
                <w:rFonts w:eastAsiaTheme="minorEastAsia" w:cs="Arial"/>
                <w:color w:val="000000" w:themeColor="text1"/>
                <w:lang w:eastAsia="en-US"/>
              </w:rPr>
            </w:pPr>
            <w:r w:rsidRPr="0C43E29E">
              <w:rPr>
                <w:rFonts w:eastAsiaTheme="minorEastAsia" w:cs="Arial"/>
                <w:color w:val="000000" w:themeColor="text1"/>
                <w:lang w:eastAsia="en-US"/>
              </w:rPr>
              <w:t>October 2020</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45C19716" w:rsidR="00D13FF1" w:rsidRPr="002E699A" w:rsidRDefault="002E699A" w:rsidP="0C43E29E">
            <w:pPr>
              <w:spacing w:line="276" w:lineRule="auto"/>
              <w:jc w:val="center"/>
              <w:rPr>
                <w:rFonts w:eastAsiaTheme="minorEastAsia" w:cs="Arial"/>
                <w:color w:val="000000" w:themeColor="text1"/>
                <w:lang w:eastAsia="en-US"/>
              </w:rPr>
            </w:pPr>
            <w:r w:rsidRPr="0C43E29E">
              <w:rPr>
                <w:rFonts w:eastAsiaTheme="minorEastAsia" w:cs="Arial"/>
                <w:color w:val="000000" w:themeColor="text1"/>
                <w:lang w:eastAsia="en-US"/>
              </w:rPr>
              <w:t>Addendum to the CFRS Grey Book Absence and Wellbeing guidance – specifically in relation to workplace injury/illness.</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151E0714" w:rsidR="00D13FF1" w:rsidRPr="002E699A" w:rsidRDefault="002E699A" w:rsidP="0C43E29E">
            <w:pPr>
              <w:spacing w:line="276" w:lineRule="auto"/>
              <w:jc w:val="center"/>
              <w:rPr>
                <w:rFonts w:eastAsiaTheme="minorEastAsia" w:cs="Arial"/>
                <w:color w:val="000000" w:themeColor="text1"/>
                <w:lang w:eastAsia="en-US"/>
              </w:rPr>
            </w:pPr>
            <w:r w:rsidRPr="0C43E29E">
              <w:rPr>
                <w:rFonts w:eastAsiaTheme="minorEastAsia" w:cs="Arial"/>
                <w:color w:val="000000" w:themeColor="text1"/>
                <w:lang w:eastAsia="en-US"/>
              </w:rPr>
              <w:t>Tracey Robinson</w:t>
            </w:r>
          </w:p>
        </w:tc>
      </w:tr>
      <w:tr w:rsidR="00D13FF1" w:rsidRPr="00440B9D" w14:paraId="21697243" w14:textId="77777777" w:rsidTr="0C43E29E">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D0B681" w14:textId="77777777" w:rsidR="00D13FF1" w:rsidRPr="002E699A" w:rsidRDefault="00D13FF1" w:rsidP="0C43E29E">
            <w:pPr>
              <w:spacing w:line="276" w:lineRule="auto"/>
              <w:jc w:val="center"/>
              <w:rPr>
                <w:rFonts w:cs="Arial"/>
                <w:color w:val="000000" w:themeColor="text1"/>
              </w:rPr>
            </w:pPr>
            <w:r w:rsidRPr="0C43E29E">
              <w:rPr>
                <w:rFonts w:cs="Arial"/>
                <w:color w:val="000000" w:themeColor="text1"/>
              </w:rPr>
              <w:t>Version 2</w:t>
            </w:r>
          </w:p>
          <w:p w14:paraId="76F644D6" w14:textId="1BB30270" w:rsidR="00D13FF1" w:rsidRPr="002E699A" w:rsidRDefault="002E699A" w:rsidP="0C43E29E">
            <w:pPr>
              <w:spacing w:line="276" w:lineRule="auto"/>
              <w:jc w:val="center"/>
              <w:rPr>
                <w:rFonts w:cs="Arial"/>
                <w:color w:val="000000" w:themeColor="text1"/>
              </w:rPr>
            </w:pPr>
            <w:r w:rsidRPr="0C43E29E">
              <w:rPr>
                <w:rFonts w:cs="Arial"/>
                <w:color w:val="000000" w:themeColor="text1"/>
              </w:rPr>
              <w:t>June 2025</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BBABA5" w14:textId="7D542160" w:rsidR="00D13FF1" w:rsidRPr="002E699A" w:rsidRDefault="002E699A" w:rsidP="0C43E29E">
            <w:pPr>
              <w:spacing w:line="276" w:lineRule="auto"/>
              <w:jc w:val="center"/>
              <w:rPr>
                <w:rFonts w:eastAsiaTheme="minorEastAsia" w:cs="Arial"/>
                <w:color w:val="000000" w:themeColor="text1"/>
                <w:lang w:eastAsia="en-US"/>
              </w:rPr>
            </w:pPr>
            <w:r w:rsidRPr="0C43E29E">
              <w:rPr>
                <w:rFonts w:eastAsiaTheme="minorEastAsia" w:cs="Arial"/>
                <w:color w:val="000000" w:themeColor="text1"/>
                <w:lang w:eastAsia="en-US"/>
              </w:rPr>
              <w:t>Addition of Green Book term</w:t>
            </w:r>
            <w:r w:rsidR="76086A6D" w:rsidRPr="0C43E29E">
              <w:rPr>
                <w:rFonts w:eastAsiaTheme="minorEastAsia" w:cs="Arial"/>
                <w:color w:val="000000" w:themeColor="text1"/>
                <w:lang w:eastAsia="en-US"/>
              </w:rPr>
              <w:t>s a</w:t>
            </w:r>
            <w:r w:rsidRPr="0C43E29E">
              <w:rPr>
                <w:rFonts w:eastAsiaTheme="minorEastAsia" w:cs="Arial"/>
                <w:color w:val="000000" w:themeColor="text1"/>
                <w:lang w:eastAsia="en-US"/>
              </w:rPr>
              <w:t>n</w:t>
            </w:r>
            <w:r w:rsidR="6C10F133" w:rsidRPr="0C43E29E">
              <w:rPr>
                <w:rFonts w:eastAsiaTheme="minorEastAsia" w:cs="Arial"/>
                <w:color w:val="000000" w:themeColor="text1"/>
                <w:lang w:eastAsia="en-US"/>
              </w:rPr>
              <w:t xml:space="preserve">d </w:t>
            </w:r>
            <w:r w:rsidRPr="0C43E29E">
              <w:rPr>
                <w:rFonts w:eastAsiaTheme="minorEastAsia" w:cs="Arial"/>
                <w:color w:val="000000" w:themeColor="text1"/>
                <w:lang w:eastAsia="en-US"/>
              </w:rPr>
              <w:t xml:space="preserve">content updated following reviewed </w:t>
            </w:r>
            <w:r w:rsidR="0E0EE848" w:rsidRPr="0C43E29E">
              <w:rPr>
                <w:rFonts w:eastAsiaTheme="minorEastAsia" w:cs="Arial"/>
                <w:color w:val="000000" w:themeColor="text1"/>
                <w:lang w:eastAsia="en-US"/>
              </w:rPr>
              <w:t>Absence</w:t>
            </w:r>
            <w:r w:rsidRPr="0C43E29E">
              <w:rPr>
                <w:rFonts w:eastAsiaTheme="minorEastAsia" w:cs="Arial"/>
                <w:color w:val="000000" w:themeColor="text1"/>
                <w:lang w:eastAsia="en-US"/>
              </w:rPr>
              <w:t xml:space="preserve"> and Wellbeing policy.</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B4B3FB" w14:textId="11D05211" w:rsidR="00D13FF1" w:rsidRPr="002E699A" w:rsidRDefault="002E699A" w:rsidP="0C43E29E">
            <w:pPr>
              <w:spacing w:line="276" w:lineRule="auto"/>
              <w:jc w:val="center"/>
              <w:rPr>
                <w:rFonts w:eastAsiaTheme="minorEastAsia" w:cs="Arial"/>
                <w:color w:val="000000" w:themeColor="text1"/>
                <w:lang w:eastAsia="en-US"/>
              </w:rPr>
            </w:pPr>
            <w:r w:rsidRPr="0C43E29E">
              <w:rPr>
                <w:rFonts w:eastAsiaTheme="minorEastAsia" w:cs="Arial"/>
                <w:color w:val="000000" w:themeColor="text1"/>
                <w:lang w:eastAsia="en-US"/>
              </w:rPr>
              <w:t>Takara Hanks</w:t>
            </w:r>
          </w:p>
        </w:tc>
      </w:tr>
    </w:tbl>
    <w:p w14:paraId="34CC4324" w14:textId="77777777" w:rsidR="003F4818" w:rsidRDefault="003F4818">
      <w:pPr>
        <w:spacing w:line="240" w:lineRule="auto"/>
      </w:pPr>
    </w:p>
    <w:p w14:paraId="422A990F" w14:textId="77777777" w:rsidR="00EB2C8E" w:rsidRDefault="00EB2C8E" w:rsidP="00EB2C8E">
      <w:pPr>
        <w:spacing w:line="240" w:lineRule="auto"/>
        <w:rPr>
          <w:color w:val="A92530"/>
        </w:rPr>
      </w:pPr>
    </w:p>
    <w:p w14:paraId="61D9CCB3" w14:textId="44DA323A" w:rsidR="001E0E1F" w:rsidRPr="00B21687" w:rsidRDefault="002E699A" w:rsidP="00835F95">
      <w:pPr>
        <w:pStyle w:val="Heading3"/>
        <w:rPr>
          <w:szCs w:val="28"/>
        </w:rPr>
      </w:pPr>
      <w:r>
        <w:rPr>
          <w:rStyle w:val="Hyperlink"/>
          <w:rFonts w:ascii="Arial Black" w:hAnsi="Arial Black"/>
          <w:sz w:val="28"/>
          <w:szCs w:val="28"/>
        </w:rPr>
        <w:t>Introduction</w:t>
      </w:r>
    </w:p>
    <w:p w14:paraId="401C8391" w14:textId="77777777" w:rsidR="002E699A" w:rsidRPr="002E699A" w:rsidRDefault="002E699A" w:rsidP="002E699A">
      <w:pPr>
        <w:shd w:val="clear" w:color="auto" w:fill="FFFFFF"/>
        <w:spacing w:before="100" w:beforeAutospacing="1" w:after="180" w:line="240" w:lineRule="auto"/>
        <w:rPr>
          <w:rFonts w:cs="Arial"/>
          <w:color w:val="000000" w:themeColor="text1"/>
        </w:rPr>
      </w:pPr>
      <w:r w:rsidRPr="002E699A">
        <w:rPr>
          <w:rFonts w:cs="Arial"/>
          <w:color w:val="000000" w:themeColor="text1"/>
        </w:rPr>
        <w:t xml:space="preserve">This is supplementary guidance to the Absence and Wellbeing policy applicable to all employees where a workplace injury or illness has occurred. It is intended to provide guidance to managers and employees in relation to the management of illness/injury whilst undertaking authorised duties during employment. </w:t>
      </w:r>
    </w:p>
    <w:p w14:paraId="38CAD83D" w14:textId="14C56569" w:rsidR="002E699A" w:rsidRDefault="002E699A" w:rsidP="002E699A">
      <w:pPr>
        <w:shd w:val="clear" w:color="auto" w:fill="FFFFFF"/>
        <w:spacing w:before="100" w:beforeAutospacing="1" w:after="180" w:line="240" w:lineRule="auto"/>
        <w:rPr>
          <w:rFonts w:cs="Arial"/>
          <w:color w:val="000000" w:themeColor="text1"/>
        </w:rPr>
      </w:pPr>
      <w:r w:rsidRPr="002E699A">
        <w:rPr>
          <w:rFonts w:cs="Arial"/>
          <w:color w:val="000000" w:themeColor="text1"/>
        </w:rPr>
        <w:t xml:space="preserve">It should be noted that whilst sickness absence issues should be dealt with in a fair way, they are often complex and </w:t>
      </w:r>
      <w:proofErr w:type="gramStart"/>
      <w:r w:rsidRPr="002E699A">
        <w:rPr>
          <w:rFonts w:cs="Arial"/>
          <w:color w:val="000000" w:themeColor="text1"/>
        </w:rPr>
        <w:t>unique</w:t>
      </w:r>
      <w:proofErr w:type="gramEnd"/>
      <w:r w:rsidRPr="002E699A">
        <w:rPr>
          <w:rFonts w:cs="Arial"/>
          <w:color w:val="000000" w:themeColor="text1"/>
        </w:rPr>
        <w:t xml:space="preserve"> and circumstances may differ from case to case. </w:t>
      </w:r>
    </w:p>
    <w:p w14:paraId="135D9B7B" w14:textId="77777777" w:rsidR="00196E04" w:rsidRPr="002E699A" w:rsidRDefault="00196E04" w:rsidP="002E699A">
      <w:pPr>
        <w:shd w:val="clear" w:color="auto" w:fill="FFFFFF"/>
        <w:spacing w:before="100" w:beforeAutospacing="1" w:after="180" w:line="240" w:lineRule="auto"/>
        <w:rPr>
          <w:rFonts w:cs="Arial"/>
          <w:color w:val="000000" w:themeColor="text1"/>
        </w:rPr>
      </w:pPr>
    </w:p>
    <w:p w14:paraId="58D6692F" w14:textId="77777777" w:rsidR="002E699A" w:rsidRPr="002E699A" w:rsidRDefault="002E699A" w:rsidP="00196E04">
      <w:pPr>
        <w:keepNext/>
        <w:outlineLvl w:val="0"/>
        <w:rPr>
          <w:rFonts w:ascii="Arial Black" w:hAnsi="Arial Black" w:cs="Arial"/>
          <w:b/>
          <w:bCs/>
          <w:color w:val="C00000"/>
          <w:kern w:val="32"/>
          <w:sz w:val="28"/>
          <w:szCs w:val="28"/>
        </w:rPr>
      </w:pPr>
      <w:r w:rsidRPr="002E699A">
        <w:rPr>
          <w:rFonts w:ascii="Arial Black" w:hAnsi="Arial Black" w:cs="Arial"/>
          <w:b/>
          <w:bCs/>
          <w:color w:val="C00000"/>
          <w:kern w:val="32"/>
          <w:sz w:val="28"/>
          <w:szCs w:val="28"/>
        </w:rPr>
        <w:t xml:space="preserve">Principals </w:t>
      </w:r>
    </w:p>
    <w:p w14:paraId="348E25CA"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rPr>
          <w:rFonts w:cs="Arial"/>
          <w:color w:val="FF0000"/>
          <w:sz w:val="20"/>
        </w:rPr>
      </w:pPr>
    </w:p>
    <w:p w14:paraId="4C4C7792"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2E699A">
        <w:rPr>
          <w:rFonts w:cs="Arial"/>
        </w:rPr>
        <w:t xml:space="preserve">This procedure has been developed in accordance with the Grey Book Part B Occupational Health and section 10. Sickness Scheme of the Green Book. This policy is based on the following principles: </w:t>
      </w:r>
    </w:p>
    <w:p w14:paraId="2C93F6EE"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p>
    <w:p w14:paraId="4374C89A" w14:textId="77777777" w:rsidR="002E699A" w:rsidRPr="002E699A" w:rsidRDefault="002E699A" w:rsidP="002E699A">
      <w:pPr>
        <w:numPr>
          <w:ilvl w:val="0"/>
          <w:numId w:val="36"/>
        </w:numPr>
        <w:spacing w:line="240" w:lineRule="auto"/>
        <w:jc w:val="both"/>
        <w:rPr>
          <w:rFonts w:cs="Arial"/>
        </w:rPr>
      </w:pPr>
      <w:r w:rsidRPr="002E699A">
        <w:rPr>
          <w:rFonts w:cs="Arial"/>
        </w:rPr>
        <w:t xml:space="preserve">Ensure appropriate occupational health and medical advice is obtained </w:t>
      </w:r>
    </w:p>
    <w:p w14:paraId="72408200" w14:textId="77777777" w:rsidR="002E699A" w:rsidRPr="002E699A" w:rsidRDefault="002E699A" w:rsidP="002E699A">
      <w:pPr>
        <w:numPr>
          <w:ilvl w:val="0"/>
          <w:numId w:val="36"/>
        </w:numPr>
        <w:spacing w:line="240" w:lineRule="auto"/>
        <w:jc w:val="both"/>
        <w:rPr>
          <w:rFonts w:cs="Arial"/>
        </w:rPr>
      </w:pPr>
      <w:r w:rsidRPr="002E699A">
        <w:rPr>
          <w:rFonts w:cs="Arial"/>
        </w:rPr>
        <w:lastRenderedPageBreak/>
        <w:t xml:space="preserve">Sustain harmonious employee relations </w:t>
      </w:r>
    </w:p>
    <w:p w14:paraId="2FC833D6" w14:textId="77777777" w:rsidR="002E699A" w:rsidRPr="002E699A" w:rsidRDefault="002E699A" w:rsidP="002E699A">
      <w:pPr>
        <w:numPr>
          <w:ilvl w:val="0"/>
          <w:numId w:val="36"/>
        </w:numPr>
        <w:spacing w:line="240" w:lineRule="auto"/>
        <w:jc w:val="both"/>
        <w:rPr>
          <w:rFonts w:cs="Arial"/>
        </w:rPr>
      </w:pPr>
      <w:r w:rsidRPr="002E699A">
        <w:rPr>
          <w:rFonts w:cs="Arial"/>
        </w:rPr>
        <w:t>Comply with good employment practice and adhere to the law</w:t>
      </w:r>
    </w:p>
    <w:p w14:paraId="2E7959B5" w14:textId="77777777" w:rsidR="002E699A" w:rsidRPr="002E699A" w:rsidRDefault="002E699A" w:rsidP="002E699A">
      <w:pPr>
        <w:numPr>
          <w:ilvl w:val="0"/>
          <w:numId w:val="36"/>
        </w:numPr>
        <w:spacing w:line="240" w:lineRule="auto"/>
        <w:jc w:val="both"/>
        <w:rPr>
          <w:rFonts w:cs="Arial"/>
        </w:rPr>
      </w:pPr>
      <w:r w:rsidRPr="002E699A">
        <w:rPr>
          <w:rFonts w:cs="Arial"/>
        </w:rPr>
        <w:t>Ensure that sickness absence is never ignored</w:t>
      </w:r>
    </w:p>
    <w:p w14:paraId="00733ABE" w14:textId="77777777" w:rsidR="002E699A" w:rsidRPr="002E699A" w:rsidRDefault="002E699A" w:rsidP="002E699A">
      <w:pPr>
        <w:numPr>
          <w:ilvl w:val="0"/>
          <w:numId w:val="36"/>
        </w:numPr>
        <w:spacing w:line="240" w:lineRule="auto"/>
        <w:jc w:val="both"/>
        <w:rPr>
          <w:rFonts w:cs="Arial"/>
        </w:rPr>
      </w:pPr>
      <w:r w:rsidRPr="002E699A">
        <w:rPr>
          <w:rFonts w:cs="Arial"/>
        </w:rPr>
        <w:t xml:space="preserve">Ensure prompt action is taken if the absence is work-related </w:t>
      </w:r>
    </w:p>
    <w:p w14:paraId="5FA13129" w14:textId="77777777" w:rsidR="002E699A" w:rsidRPr="002E699A" w:rsidRDefault="002E699A" w:rsidP="002E699A">
      <w:pPr>
        <w:numPr>
          <w:ilvl w:val="0"/>
          <w:numId w:val="36"/>
        </w:numPr>
        <w:spacing w:line="240" w:lineRule="auto"/>
        <w:jc w:val="both"/>
        <w:rPr>
          <w:rFonts w:cs="Arial"/>
        </w:rPr>
      </w:pPr>
      <w:r w:rsidRPr="002E699A">
        <w:rPr>
          <w:rFonts w:cs="Arial"/>
        </w:rPr>
        <w:t xml:space="preserve">Keep accurate and up to date employee attendance records </w:t>
      </w:r>
    </w:p>
    <w:p w14:paraId="45E7DD31" w14:textId="77777777" w:rsidR="002E699A" w:rsidRPr="002E699A" w:rsidRDefault="002E699A" w:rsidP="002E699A">
      <w:pPr>
        <w:numPr>
          <w:ilvl w:val="0"/>
          <w:numId w:val="36"/>
        </w:numPr>
        <w:spacing w:line="240" w:lineRule="auto"/>
        <w:jc w:val="both"/>
        <w:rPr>
          <w:rFonts w:cs="Arial"/>
        </w:rPr>
      </w:pPr>
      <w:r w:rsidRPr="002E699A">
        <w:rPr>
          <w:rFonts w:cs="Arial"/>
        </w:rPr>
        <w:t xml:space="preserve">Deal with each person as an individual – getting to know them will assist in exercising managerial judgement </w:t>
      </w:r>
    </w:p>
    <w:p w14:paraId="6B1D8A4C" w14:textId="77777777" w:rsidR="002E699A" w:rsidRPr="002E699A" w:rsidRDefault="002E699A" w:rsidP="002E699A">
      <w:pPr>
        <w:numPr>
          <w:ilvl w:val="0"/>
          <w:numId w:val="36"/>
        </w:numPr>
        <w:spacing w:line="240" w:lineRule="auto"/>
        <w:jc w:val="both"/>
        <w:rPr>
          <w:rFonts w:cs="Arial"/>
        </w:rPr>
      </w:pPr>
      <w:r w:rsidRPr="002E699A">
        <w:rPr>
          <w:rFonts w:cs="Arial"/>
        </w:rPr>
        <w:t xml:space="preserve">Handle attendance problems promptly and sensitively, in a supportive manner </w:t>
      </w:r>
    </w:p>
    <w:p w14:paraId="674F7C38" w14:textId="77777777" w:rsidR="002E699A" w:rsidRPr="002E699A" w:rsidRDefault="002E699A" w:rsidP="002E699A">
      <w:pPr>
        <w:numPr>
          <w:ilvl w:val="0"/>
          <w:numId w:val="36"/>
        </w:numPr>
        <w:spacing w:line="240" w:lineRule="auto"/>
        <w:jc w:val="both"/>
        <w:rPr>
          <w:rFonts w:cs="Arial"/>
        </w:rPr>
      </w:pPr>
      <w:r w:rsidRPr="002E699A">
        <w:rPr>
          <w:rFonts w:cs="Arial"/>
        </w:rPr>
        <w:t xml:space="preserve">Treat all staff fairly and consistently </w:t>
      </w:r>
    </w:p>
    <w:p w14:paraId="6F5D5EDC" w14:textId="77777777" w:rsidR="002E699A" w:rsidRPr="002E699A" w:rsidRDefault="002E699A" w:rsidP="002E699A">
      <w:pPr>
        <w:spacing w:line="240" w:lineRule="auto"/>
        <w:ind w:left="720"/>
        <w:jc w:val="both"/>
        <w:rPr>
          <w:rFonts w:cs="Arial"/>
        </w:rPr>
      </w:pPr>
    </w:p>
    <w:p w14:paraId="6C0D1B0D"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2E699A">
        <w:rPr>
          <w:rFonts w:cs="Arial"/>
        </w:rPr>
        <w:t xml:space="preserve">The following are some examples of situations that may lead to entitlement to workplace injury pay: </w:t>
      </w:r>
    </w:p>
    <w:p w14:paraId="4DD3A8C0" w14:textId="77777777" w:rsidR="002E699A" w:rsidRPr="002E699A" w:rsidRDefault="002E699A" w:rsidP="002E699A">
      <w:pPr>
        <w:numPr>
          <w:ilvl w:val="0"/>
          <w:numId w:val="37"/>
        </w:num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contextualSpacing/>
        <w:rPr>
          <w:rFonts w:cs="Arial"/>
        </w:rPr>
      </w:pPr>
      <w:r w:rsidRPr="002E699A">
        <w:rPr>
          <w:rFonts w:cs="Arial"/>
        </w:rPr>
        <w:t>physical or psychiatric injury sustained, or disease contracted due to a specific</w:t>
      </w:r>
    </w:p>
    <w:p w14:paraId="4BFD9E4C"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cs="Arial"/>
        </w:rPr>
      </w:pPr>
      <w:r w:rsidRPr="002E699A">
        <w:rPr>
          <w:rFonts w:cs="Arial"/>
        </w:rPr>
        <w:t>incident or series of incidents whilst undertaking official duties as part of employment</w:t>
      </w:r>
    </w:p>
    <w:p w14:paraId="5BAEAD90" w14:textId="77777777" w:rsidR="002E699A" w:rsidRPr="002E699A" w:rsidRDefault="002E699A" w:rsidP="002E699A">
      <w:pPr>
        <w:numPr>
          <w:ilvl w:val="0"/>
          <w:numId w:val="37"/>
        </w:num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contextualSpacing/>
        <w:rPr>
          <w:rFonts w:cs="Arial"/>
        </w:rPr>
      </w:pPr>
      <w:r w:rsidRPr="002E699A">
        <w:rPr>
          <w:rFonts w:cs="Arial"/>
        </w:rPr>
        <w:t>injury sustained whilst travelling on official duty, for example, road traffic accident</w:t>
      </w:r>
    </w:p>
    <w:p w14:paraId="574552FD"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cs="Arial"/>
        </w:rPr>
      </w:pPr>
      <w:r w:rsidRPr="002E699A">
        <w:rPr>
          <w:rFonts w:cs="Arial"/>
        </w:rPr>
        <w:t xml:space="preserve">(RTA), whilst travelling in an official car from one CFRS premises to another. This would include travel between locations where work is carried out, in work time. </w:t>
      </w:r>
    </w:p>
    <w:p w14:paraId="198DA069" w14:textId="77777777" w:rsidR="002E699A" w:rsidRPr="002E699A" w:rsidRDefault="002E699A" w:rsidP="002E699A">
      <w:pPr>
        <w:numPr>
          <w:ilvl w:val="0"/>
          <w:numId w:val="37"/>
        </w:num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contextualSpacing/>
        <w:rPr>
          <w:rFonts w:cs="Arial"/>
        </w:rPr>
      </w:pPr>
      <w:r w:rsidRPr="002E699A">
        <w:rPr>
          <w:rFonts w:cs="Arial"/>
        </w:rPr>
        <w:t>injury inflicted off duty, the direct cause of which can be attributed to CFRS employment</w:t>
      </w:r>
    </w:p>
    <w:p w14:paraId="694F9038"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cs="Arial"/>
        </w:rPr>
      </w:pPr>
      <w:r w:rsidRPr="002E699A">
        <w:rPr>
          <w:rFonts w:cs="Arial"/>
        </w:rPr>
        <w:t>(for example, being assaulted on the way home from work by a service user)</w:t>
      </w:r>
    </w:p>
    <w:p w14:paraId="2C5C9767"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p>
    <w:p w14:paraId="772902D6"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2E699A">
        <w:rPr>
          <w:rFonts w:cs="Arial"/>
        </w:rPr>
        <w:t>Workplace injury pay may not be considered if:</w:t>
      </w:r>
    </w:p>
    <w:p w14:paraId="7B5EC353" w14:textId="77777777" w:rsidR="002E699A" w:rsidRPr="002E699A" w:rsidRDefault="002E699A" w:rsidP="002E699A">
      <w:pPr>
        <w:numPr>
          <w:ilvl w:val="0"/>
          <w:numId w:val="37"/>
        </w:numPr>
        <w:tabs>
          <w:tab w:val="left" w:pos="709"/>
          <w:tab w:val="left" w:pos="851"/>
          <w:tab w:val="left" w:pos="2880"/>
          <w:tab w:val="left" w:pos="3600"/>
          <w:tab w:val="left" w:pos="4320"/>
          <w:tab w:val="left" w:pos="5040"/>
          <w:tab w:val="left" w:pos="5760"/>
          <w:tab w:val="left" w:pos="6480"/>
          <w:tab w:val="left" w:pos="7200"/>
          <w:tab w:val="left" w:pos="7920"/>
          <w:tab w:val="left" w:pos="8640"/>
        </w:tabs>
        <w:spacing w:line="240" w:lineRule="auto"/>
        <w:ind w:left="709" w:hanging="349"/>
        <w:contextualSpacing/>
        <w:rPr>
          <w:rFonts w:cs="Arial"/>
        </w:rPr>
      </w:pPr>
      <w:r w:rsidRPr="002E699A">
        <w:rPr>
          <w:rFonts w:cs="Arial"/>
        </w:rPr>
        <w:t>you are injured whilst on a normal journey travelling to and from work, except where the journey is part of your duties of employment</w:t>
      </w:r>
    </w:p>
    <w:p w14:paraId="7D784374" w14:textId="77777777" w:rsidR="002E699A" w:rsidRPr="002E699A" w:rsidRDefault="002E699A" w:rsidP="002E699A">
      <w:pPr>
        <w:numPr>
          <w:ilvl w:val="0"/>
          <w:numId w:val="37"/>
        </w:num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ind w:left="709" w:hanging="349"/>
        <w:contextualSpacing/>
        <w:rPr>
          <w:rFonts w:cs="Arial"/>
        </w:rPr>
      </w:pPr>
      <w:r w:rsidRPr="002E699A">
        <w:rPr>
          <w:rFonts w:cs="Arial"/>
        </w:rPr>
        <w:t xml:space="preserve">your absence is deemed likely to be </w:t>
      </w:r>
      <w:proofErr w:type="gramStart"/>
      <w:r w:rsidRPr="002E699A">
        <w:rPr>
          <w:rFonts w:cs="Arial"/>
        </w:rPr>
        <w:t>as a result of</w:t>
      </w:r>
      <w:proofErr w:type="gramEnd"/>
      <w:r w:rsidRPr="002E699A">
        <w:rPr>
          <w:rFonts w:cs="Arial"/>
        </w:rPr>
        <w:t xml:space="preserve"> employment related matters such as an investigation, capability proceedings or disciplinary action, or </w:t>
      </w:r>
      <w:proofErr w:type="gramStart"/>
      <w:r w:rsidRPr="002E699A">
        <w:rPr>
          <w:rFonts w:cs="Arial"/>
        </w:rPr>
        <w:t>as a result of</w:t>
      </w:r>
      <w:proofErr w:type="gramEnd"/>
      <w:r w:rsidRPr="002E699A">
        <w:rPr>
          <w:rFonts w:cs="Arial"/>
        </w:rPr>
        <w:t xml:space="preserve"> a</w:t>
      </w:r>
    </w:p>
    <w:p w14:paraId="09C0C689"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ind w:left="709"/>
        <w:contextualSpacing/>
        <w:rPr>
          <w:rFonts w:cs="Arial"/>
        </w:rPr>
      </w:pPr>
      <w:r w:rsidRPr="002E699A">
        <w:rPr>
          <w:rFonts w:cs="Arial"/>
        </w:rPr>
        <w:t>failed application for promotion, secondment or transfer</w:t>
      </w:r>
    </w:p>
    <w:p w14:paraId="180FB799" w14:textId="223C4C14" w:rsidR="002E699A" w:rsidRPr="00EE0EF1" w:rsidRDefault="002E699A" w:rsidP="00EE0EF1">
      <w:pPr>
        <w:numPr>
          <w:ilvl w:val="0"/>
          <w:numId w:val="37"/>
        </w:num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contextualSpacing/>
        <w:rPr>
          <w:rFonts w:cs="Arial"/>
        </w:rPr>
      </w:pPr>
      <w:r w:rsidRPr="002E699A">
        <w:rPr>
          <w:rFonts w:cs="Arial"/>
        </w:rPr>
        <w:t>you sustain an injury or disease at work which is due to or aggravated by your</w:t>
      </w:r>
      <w:r w:rsidR="00EE0EF1">
        <w:rPr>
          <w:rFonts w:cs="Arial"/>
        </w:rPr>
        <w:t xml:space="preserve"> </w:t>
      </w:r>
      <w:r w:rsidRPr="00EE0EF1">
        <w:rPr>
          <w:rFonts w:cs="Arial"/>
        </w:rPr>
        <w:t>own negligence or misconduct</w:t>
      </w:r>
    </w:p>
    <w:p w14:paraId="2E0327E6"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p>
    <w:p w14:paraId="4A1E68B0" w14:textId="6CB94602" w:rsidR="002E699A" w:rsidRPr="002E699A" w:rsidRDefault="002E699A" w:rsidP="00196E04">
      <w:pPr>
        <w:keepNext/>
        <w:outlineLvl w:val="0"/>
        <w:rPr>
          <w:rFonts w:ascii="Arial Black" w:hAnsi="Arial Black" w:cs="Arial"/>
          <w:b/>
          <w:bCs/>
          <w:color w:val="C00000"/>
          <w:kern w:val="32"/>
          <w:sz w:val="28"/>
          <w:szCs w:val="28"/>
        </w:rPr>
      </w:pPr>
      <w:r w:rsidRPr="002E699A">
        <w:rPr>
          <w:rFonts w:ascii="Arial Black" w:hAnsi="Arial Black" w:cs="Arial"/>
          <w:b/>
          <w:bCs/>
          <w:color w:val="C00000"/>
          <w:kern w:val="32"/>
          <w:sz w:val="28"/>
          <w:szCs w:val="28"/>
        </w:rPr>
        <w:t>Infectious diseases</w:t>
      </w:r>
    </w:p>
    <w:p w14:paraId="0BA30261" w14:textId="77777777" w:rsidR="002E699A" w:rsidRPr="002E699A" w:rsidRDefault="002E699A" w:rsidP="002E699A">
      <w:pPr>
        <w:tabs>
          <w:tab w:val="left" w:pos="1418"/>
        </w:tabs>
        <w:autoSpaceDE w:val="0"/>
        <w:autoSpaceDN w:val="0"/>
        <w:adjustRightInd w:val="0"/>
        <w:spacing w:line="240" w:lineRule="auto"/>
        <w:rPr>
          <w:rFonts w:cs="Arial"/>
          <w:lang w:eastAsia="en-US"/>
        </w:rPr>
      </w:pPr>
    </w:p>
    <w:p w14:paraId="079EFFEF" w14:textId="5F3E8385"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2E699A">
        <w:rPr>
          <w:rFonts w:cs="Arial"/>
        </w:rPr>
        <w:t>An employee who is prevented from attending work because of contact with infectious disease will be entitled to receive pay in line with the provisions set out in this policy.</w:t>
      </w:r>
      <w:r w:rsidRPr="002E699A">
        <w:rPr>
          <w:color w:val="000000" w:themeColor="text1"/>
        </w:rPr>
        <w:t xml:space="preserve"> Again, the purpose of this is to protect the sick pay entitlement, </w:t>
      </w:r>
      <w:r w:rsidRPr="002E699A">
        <w:rPr>
          <w:rFonts w:cs="Arial"/>
        </w:rPr>
        <w:t xml:space="preserve">for employees who may suffer a further, unrelated, period of absence due to sickness in the future. The notification and decision-making process set out </w:t>
      </w:r>
      <w:r w:rsidR="0038583D">
        <w:rPr>
          <w:rFonts w:cs="Arial"/>
        </w:rPr>
        <w:t>below</w:t>
      </w:r>
      <w:r w:rsidRPr="002E699A">
        <w:rPr>
          <w:rFonts w:cs="Arial"/>
        </w:rPr>
        <w:t xml:space="preserve"> must be followed.</w:t>
      </w:r>
    </w:p>
    <w:p w14:paraId="79CD2C3E" w14:textId="77777777" w:rsidR="002E699A" w:rsidRPr="002E699A" w:rsidRDefault="002E699A" w:rsidP="002E699A">
      <w:pPr>
        <w:spacing w:line="240" w:lineRule="auto"/>
        <w:rPr>
          <w:rFonts w:cs="Arial"/>
        </w:rPr>
      </w:pPr>
    </w:p>
    <w:p w14:paraId="4F273E1C" w14:textId="77777777" w:rsidR="002E699A" w:rsidRPr="002E699A" w:rsidRDefault="002E699A" w:rsidP="00196E04">
      <w:pPr>
        <w:keepNext/>
        <w:spacing w:line="240" w:lineRule="auto"/>
        <w:outlineLvl w:val="0"/>
        <w:rPr>
          <w:rFonts w:ascii="Arial Black" w:hAnsi="Arial Black" w:cs="Arial"/>
          <w:b/>
          <w:bCs/>
          <w:color w:val="C00000"/>
          <w:kern w:val="32"/>
          <w:sz w:val="28"/>
          <w:szCs w:val="28"/>
        </w:rPr>
      </w:pPr>
      <w:r w:rsidRPr="002E699A">
        <w:rPr>
          <w:rFonts w:ascii="Arial Black" w:hAnsi="Arial Black" w:cs="Arial"/>
          <w:b/>
          <w:bCs/>
          <w:color w:val="C00000"/>
          <w:kern w:val="32"/>
          <w:sz w:val="28"/>
          <w:szCs w:val="28"/>
        </w:rPr>
        <w:t>Stress</w:t>
      </w:r>
    </w:p>
    <w:p w14:paraId="2F868E1E" w14:textId="77777777" w:rsidR="002E699A" w:rsidRPr="002E699A" w:rsidRDefault="002E699A" w:rsidP="002E699A">
      <w:pPr>
        <w:spacing w:line="240" w:lineRule="auto"/>
        <w:rPr>
          <w:rFonts w:cs="Arial"/>
        </w:rPr>
      </w:pPr>
    </w:p>
    <w:p w14:paraId="5806D57C" w14:textId="77777777" w:rsidR="002E699A" w:rsidRPr="002E699A" w:rsidRDefault="002E699A" w:rsidP="002E699A">
      <w:pPr>
        <w:spacing w:line="240" w:lineRule="auto"/>
        <w:rPr>
          <w:rFonts w:cs="Arial"/>
        </w:rPr>
      </w:pPr>
      <w:r w:rsidRPr="002E699A">
        <w:rPr>
          <w:rFonts w:cs="Arial"/>
        </w:rPr>
        <w:t xml:space="preserve">‘Stress’ itself is not a medical </w:t>
      </w:r>
      <w:proofErr w:type="gramStart"/>
      <w:r w:rsidRPr="002E699A">
        <w:rPr>
          <w:rFonts w:cs="Arial"/>
        </w:rPr>
        <w:t>condition,</w:t>
      </w:r>
      <w:proofErr w:type="gramEnd"/>
      <w:r w:rsidRPr="002E699A">
        <w:rPr>
          <w:rFonts w:cs="Arial"/>
        </w:rPr>
        <w:t xml:space="preserve"> it is often a phrase used to encapsulate the mental and emotional strain on a person due to their circumstances; these may result in physical or mental health conditions. Stress alone is not a RIDDOR reportable incident and is therefore not covered by workplace injury provisions. However, where there are concerns about stress resulting in illness or injury which may be determined as a workplace injury/illness, advice should be sought from Occupational Health, HR and Health &amp; Safety.  </w:t>
      </w:r>
    </w:p>
    <w:p w14:paraId="1938E5EB"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p>
    <w:p w14:paraId="7F017880" w14:textId="77777777" w:rsidR="0038583D" w:rsidRDefault="0038583D" w:rsidP="00196E04">
      <w:pPr>
        <w:keepNext/>
        <w:outlineLvl w:val="0"/>
        <w:rPr>
          <w:rFonts w:ascii="Arial Black" w:hAnsi="Arial Black" w:cs="Arial"/>
          <w:b/>
          <w:bCs/>
          <w:color w:val="C00000"/>
          <w:kern w:val="32"/>
          <w:sz w:val="28"/>
          <w:szCs w:val="28"/>
        </w:rPr>
      </w:pPr>
    </w:p>
    <w:p w14:paraId="36D9231E" w14:textId="7C485C14" w:rsidR="002E699A" w:rsidRPr="002E699A" w:rsidRDefault="002E699A" w:rsidP="00196E04">
      <w:pPr>
        <w:keepNext/>
        <w:outlineLvl w:val="0"/>
        <w:rPr>
          <w:rFonts w:ascii="Arial Black" w:hAnsi="Arial Black" w:cs="Arial"/>
          <w:b/>
          <w:bCs/>
          <w:color w:val="007EA9"/>
          <w:kern w:val="32"/>
          <w:sz w:val="28"/>
          <w:szCs w:val="28"/>
        </w:rPr>
      </w:pPr>
      <w:r w:rsidRPr="002E699A">
        <w:rPr>
          <w:rFonts w:ascii="Arial Black" w:hAnsi="Arial Black" w:cs="Arial"/>
          <w:b/>
          <w:bCs/>
          <w:color w:val="C00000"/>
          <w:kern w:val="32"/>
          <w:sz w:val="28"/>
          <w:szCs w:val="28"/>
        </w:rPr>
        <w:t xml:space="preserve">Pay </w:t>
      </w:r>
    </w:p>
    <w:p w14:paraId="4324F8F6"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p>
    <w:p w14:paraId="7C6FBEA5"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2E699A">
        <w:rPr>
          <w:rFonts w:cs="Arial"/>
        </w:rPr>
        <w:t xml:space="preserve">Entitlement to workplace injury pay is entirely separate to pay in respect of sickness absence, but it is calculated in the same manner and mirrors the occupational sick pay, as set out in the Absence and Wellbeing policy. </w:t>
      </w:r>
    </w:p>
    <w:p w14:paraId="65F1B281"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p>
    <w:p w14:paraId="0459F4BB"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color w:val="000000" w:themeColor="text1"/>
        </w:rPr>
      </w:pPr>
      <w:r w:rsidRPr="002E699A">
        <w:rPr>
          <w:rFonts w:cs="Arial"/>
          <w:color w:val="000000"/>
        </w:rPr>
        <w:t>Periods of absence in respect</w:t>
      </w:r>
      <w:r w:rsidRPr="002E699A">
        <w:rPr>
          <w:rFonts w:cs="Arial"/>
        </w:rPr>
        <w:t xml:space="preserve"> </w:t>
      </w:r>
      <w:r w:rsidRPr="002E699A">
        <w:rPr>
          <w:rFonts w:cs="Arial"/>
          <w:color w:val="000000"/>
        </w:rPr>
        <w:t>of one shall not count against the other for the purpose of calculating sick pay entitlement.</w:t>
      </w:r>
      <w:r w:rsidRPr="002E699A">
        <w:rPr>
          <w:color w:val="000000" w:themeColor="text1"/>
        </w:rPr>
        <w:t xml:space="preserve"> The purpose of this is to protect the sick pay entitlement, </w:t>
      </w:r>
      <w:r w:rsidRPr="002E699A">
        <w:rPr>
          <w:rFonts w:cs="Arial"/>
        </w:rPr>
        <w:t xml:space="preserve">for employees who may suffer a further, unrelated, period of absence due to sickness in the future. </w:t>
      </w:r>
    </w:p>
    <w:p w14:paraId="0A0E52B3"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color w:val="000000" w:themeColor="text1"/>
        </w:rPr>
      </w:pPr>
    </w:p>
    <w:p w14:paraId="6287494F"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color w:val="000000" w:themeColor="text1"/>
        </w:rPr>
      </w:pPr>
      <w:r w:rsidRPr="002E699A">
        <w:rPr>
          <w:color w:val="000000" w:themeColor="text1"/>
        </w:rPr>
        <w:t xml:space="preserve">Therefore, workplace injury absence and pay cannot run into a </w:t>
      </w:r>
      <w:proofErr w:type="gramStart"/>
      <w:r w:rsidRPr="002E699A">
        <w:rPr>
          <w:color w:val="000000" w:themeColor="text1"/>
        </w:rPr>
        <w:t>sickness absence provisions</w:t>
      </w:r>
      <w:proofErr w:type="gramEnd"/>
      <w:r w:rsidRPr="002E699A">
        <w:rPr>
          <w:color w:val="000000" w:themeColor="text1"/>
        </w:rPr>
        <w:t xml:space="preserve"> for the purposes of protecting the sick pay entitlement for the future.</w:t>
      </w:r>
    </w:p>
    <w:p w14:paraId="7B1442F2"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p>
    <w:p w14:paraId="535949A8" w14:textId="77777777" w:rsidR="002E699A" w:rsidRPr="002E699A" w:rsidRDefault="002E699A" w:rsidP="002E699A">
      <w:pPr>
        <w:tabs>
          <w:tab w:val="num" w:pos="780"/>
        </w:tabs>
        <w:jc w:val="both"/>
        <w:rPr>
          <w:rFonts w:cs="Arial"/>
        </w:rPr>
      </w:pPr>
      <w:r w:rsidRPr="002E699A">
        <w:rPr>
          <w:rFonts w:cs="Arial"/>
        </w:rPr>
        <w:t xml:space="preserve">Pay entitlements for operational and corporate employees will reflect those as detailed in the Absence and Wellbeing procedure. </w:t>
      </w:r>
    </w:p>
    <w:p w14:paraId="236B82BB" w14:textId="77777777" w:rsidR="002E699A" w:rsidRPr="002E699A" w:rsidRDefault="002E699A" w:rsidP="002E699A">
      <w:pPr>
        <w:tabs>
          <w:tab w:val="num" w:pos="780"/>
        </w:tabs>
        <w:jc w:val="both"/>
        <w:rPr>
          <w:rFonts w:cs="Arial"/>
        </w:rPr>
      </w:pPr>
      <w:r w:rsidRPr="002E699A">
        <w:rPr>
          <w:rFonts w:cs="Arial"/>
        </w:rPr>
        <w:t xml:space="preserve">  </w:t>
      </w:r>
    </w:p>
    <w:p w14:paraId="6E830B75"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color w:val="000000" w:themeColor="text1"/>
        </w:rPr>
      </w:pPr>
      <w:r w:rsidRPr="002E699A">
        <w:rPr>
          <w:color w:val="000000" w:themeColor="text1"/>
        </w:rPr>
        <w:t xml:space="preserve">The Service has the discretion to extend the period of sick pay in exceptional cases. In these cases, employees must use the Extension to Sick Pay Request Application Form process.  </w:t>
      </w:r>
    </w:p>
    <w:p w14:paraId="345B8B4E"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color w:val="000000" w:themeColor="text1"/>
        </w:rPr>
      </w:pPr>
    </w:p>
    <w:p w14:paraId="36FBF64B"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b/>
          <w:bCs/>
          <w:color w:val="000000" w:themeColor="text1"/>
        </w:rPr>
      </w:pPr>
      <w:r w:rsidRPr="002E699A">
        <w:rPr>
          <w:b/>
          <w:bCs/>
          <w:color w:val="000000" w:themeColor="text1"/>
        </w:rPr>
        <w:t>Personal Injury Claims</w:t>
      </w:r>
    </w:p>
    <w:p w14:paraId="7B24759B"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color w:val="000000" w:themeColor="text1"/>
        </w:rPr>
      </w:pPr>
      <w:r w:rsidRPr="002E699A">
        <w:rPr>
          <w:color w:val="000000" w:themeColor="text1"/>
        </w:rPr>
        <w:t xml:space="preserve">Where an employee has had or is in receipt of workplace injury pay and receives financial damages award as part of a successful personal injury claim for the same event, the cost of industrial injury pay may be recovered from a damages award. </w:t>
      </w:r>
    </w:p>
    <w:p w14:paraId="40C0BDC2"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color w:val="000000" w:themeColor="text1"/>
        </w:rPr>
      </w:pPr>
    </w:p>
    <w:p w14:paraId="3D3C9E75"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color w:val="000000" w:themeColor="text1"/>
        </w:rPr>
      </w:pPr>
    </w:p>
    <w:p w14:paraId="5997C652" w14:textId="77777777" w:rsidR="002E699A" w:rsidRPr="002E699A" w:rsidRDefault="002E699A" w:rsidP="00196E04">
      <w:pPr>
        <w:keepNext/>
        <w:outlineLvl w:val="0"/>
        <w:rPr>
          <w:rFonts w:ascii="Arial Black" w:hAnsi="Arial Black" w:cs="Arial"/>
          <w:b/>
          <w:bCs/>
          <w:color w:val="C00000"/>
          <w:kern w:val="32"/>
          <w:sz w:val="28"/>
          <w:szCs w:val="28"/>
        </w:rPr>
      </w:pPr>
      <w:r w:rsidRPr="002E699A">
        <w:rPr>
          <w:rFonts w:ascii="Arial Black" w:hAnsi="Arial Black" w:cs="Arial"/>
          <w:b/>
          <w:bCs/>
          <w:color w:val="C00000"/>
          <w:kern w:val="32"/>
          <w:sz w:val="28"/>
          <w:szCs w:val="28"/>
        </w:rPr>
        <w:t>Recording</w:t>
      </w:r>
    </w:p>
    <w:p w14:paraId="2EA00D22"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p>
    <w:p w14:paraId="4D24A6EB"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r w:rsidRPr="002E699A">
        <w:rPr>
          <w:rFonts w:cs="Arial"/>
          <w:color w:val="000000"/>
        </w:rPr>
        <w:t xml:space="preserve">Absence in respect of normal sickness shall be recorded separately from absence in respect of illness or injury arising out of authorised duty. </w:t>
      </w:r>
    </w:p>
    <w:p w14:paraId="12246FD9"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p>
    <w:p w14:paraId="1AE38F95"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2E699A">
        <w:rPr>
          <w:rFonts w:cs="Arial"/>
        </w:rPr>
        <w:t>It is the responsibility of the line manager to accurately record the reason for absence on the HR system. Absence in respect of illness or injury arising out of authorised duty should be recorded as: ‘Accident on Duty’. Following investigation, if the manager finds the potential illness or injury has not arisen out of authorised duty, the absence reason should be changed to the relevant medical reason.</w:t>
      </w:r>
    </w:p>
    <w:p w14:paraId="27080000"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rFonts w:cs="Arial"/>
        </w:rPr>
      </w:pPr>
    </w:p>
    <w:p w14:paraId="78F4D4AA" w14:textId="77777777" w:rsidR="002E699A" w:rsidRPr="002E699A" w:rsidRDefault="002E699A" w:rsidP="002E699A">
      <w:pPr>
        <w:spacing w:after="200" w:line="240" w:lineRule="auto"/>
        <w:rPr>
          <w:rFonts w:cs="Arial"/>
        </w:rPr>
      </w:pPr>
      <w:r w:rsidRPr="002E699A">
        <w:rPr>
          <w:rFonts w:cs="Arial"/>
        </w:rPr>
        <w:t xml:space="preserve">It is extremely important that accurate records are kept throughout the process and there is a coordinated approach to this by all departments involved.  </w:t>
      </w:r>
    </w:p>
    <w:p w14:paraId="638F87B3"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jc w:val="both"/>
        <w:rPr>
          <w:rFonts w:cs="Arial"/>
          <w:color w:val="FF0000"/>
          <w:sz w:val="20"/>
        </w:rPr>
      </w:pPr>
    </w:p>
    <w:p w14:paraId="1455C74E" w14:textId="77777777" w:rsidR="002E699A" w:rsidRPr="002E699A" w:rsidRDefault="002E699A" w:rsidP="00196E04">
      <w:pPr>
        <w:keepNext/>
        <w:outlineLvl w:val="0"/>
        <w:rPr>
          <w:rFonts w:ascii="Arial Black" w:hAnsi="Arial Black" w:cs="Arial"/>
          <w:b/>
          <w:bCs/>
          <w:color w:val="C00000"/>
          <w:kern w:val="32"/>
          <w:sz w:val="28"/>
          <w:szCs w:val="28"/>
        </w:rPr>
      </w:pPr>
      <w:bookmarkStart w:id="0" w:name="_Toc459727225"/>
      <w:bookmarkStart w:id="1" w:name="_Toc33183010"/>
      <w:r w:rsidRPr="002E699A">
        <w:rPr>
          <w:rFonts w:ascii="Arial Black" w:hAnsi="Arial Black" w:cs="Arial"/>
          <w:b/>
          <w:bCs/>
          <w:color w:val="C00000"/>
          <w:kern w:val="32"/>
          <w:sz w:val="28"/>
          <w:szCs w:val="28"/>
        </w:rPr>
        <w:t xml:space="preserve">Process for Managing </w:t>
      </w:r>
      <w:bookmarkEnd w:id="0"/>
      <w:bookmarkEnd w:id="1"/>
      <w:r w:rsidRPr="002E699A">
        <w:rPr>
          <w:rFonts w:ascii="Arial Black" w:hAnsi="Arial Black" w:cs="Arial"/>
          <w:b/>
          <w:bCs/>
          <w:color w:val="C00000"/>
          <w:kern w:val="32"/>
          <w:sz w:val="28"/>
          <w:szCs w:val="28"/>
        </w:rPr>
        <w:t>Workplace Injury/Illnesses</w:t>
      </w:r>
    </w:p>
    <w:p w14:paraId="39CBB6AE" w14:textId="77777777" w:rsidR="002E699A" w:rsidRPr="002E699A" w:rsidRDefault="002E699A" w:rsidP="002E699A">
      <w:pPr>
        <w:rPr>
          <w:sz w:val="20"/>
        </w:rPr>
      </w:pPr>
    </w:p>
    <w:p w14:paraId="572C05A7" w14:textId="77777777" w:rsidR="002E699A" w:rsidRPr="002E699A" w:rsidRDefault="002E699A" w:rsidP="002E699A">
      <w:pPr>
        <w:spacing w:line="240" w:lineRule="auto"/>
        <w:jc w:val="both"/>
        <w:rPr>
          <w:rFonts w:cs="Arial"/>
        </w:rPr>
      </w:pPr>
    </w:p>
    <w:p w14:paraId="4EE1CCB5" w14:textId="77777777" w:rsidR="002E699A" w:rsidRPr="002E699A" w:rsidRDefault="002E699A" w:rsidP="002E699A">
      <w:pPr>
        <w:spacing w:line="240" w:lineRule="auto"/>
        <w:jc w:val="both"/>
        <w:rPr>
          <w:rFonts w:cs="Arial"/>
          <w:b/>
        </w:rPr>
      </w:pPr>
      <w:r w:rsidRPr="002E699A">
        <w:rPr>
          <w:rFonts w:cs="Arial"/>
          <w:b/>
        </w:rPr>
        <w:t xml:space="preserve">Notification </w:t>
      </w:r>
    </w:p>
    <w:p w14:paraId="47770AF4" w14:textId="77777777" w:rsidR="002E699A" w:rsidRPr="002E699A" w:rsidRDefault="002E699A" w:rsidP="002E699A">
      <w:pPr>
        <w:spacing w:line="240" w:lineRule="auto"/>
        <w:jc w:val="both"/>
        <w:rPr>
          <w:rFonts w:cs="Arial"/>
        </w:rPr>
      </w:pPr>
    </w:p>
    <w:p w14:paraId="3CEC0C41" w14:textId="77777777" w:rsidR="002E699A" w:rsidRPr="002E699A" w:rsidRDefault="002E699A" w:rsidP="002E699A">
      <w:pPr>
        <w:spacing w:line="240" w:lineRule="auto"/>
        <w:jc w:val="both"/>
        <w:rPr>
          <w:rFonts w:cs="Arial"/>
        </w:rPr>
      </w:pPr>
      <w:r w:rsidRPr="002E699A">
        <w:rPr>
          <w:rFonts w:cs="Arial"/>
        </w:rPr>
        <w:t xml:space="preserve">During the initial notification (e.g. reporting an accident or notifying absence from work), the employee must report this to their manager in accordance with the usual service procedures and </w:t>
      </w:r>
      <w:r w:rsidRPr="002E699A">
        <w:rPr>
          <w:rFonts w:cs="Arial"/>
        </w:rPr>
        <w:lastRenderedPageBreak/>
        <w:t xml:space="preserve">state that their absence is due to an illness or injury arising from authorised duty along with any associated information. </w:t>
      </w:r>
    </w:p>
    <w:p w14:paraId="469EFCBE" w14:textId="77777777" w:rsidR="002E699A" w:rsidRPr="002E699A" w:rsidRDefault="002E699A" w:rsidP="002E699A">
      <w:pPr>
        <w:spacing w:line="240" w:lineRule="auto"/>
        <w:jc w:val="both"/>
        <w:rPr>
          <w:rFonts w:cs="Arial"/>
        </w:rPr>
      </w:pPr>
    </w:p>
    <w:p w14:paraId="5C52EAC6" w14:textId="77777777" w:rsidR="002E699A" w:rsidRPr="002E699A" w:rsidRDefault="002E699A" w:rsidP="002E699A">
      <w:pPr>
        <w:spacing w:line="240" w:lineRule="auto"/>
        <w:jc w:val="both"/>
        <w:rPr>
          <w:rFonts w:cs="Arial"/>
          <w:b/>
        </w:rPr>
      </w:pPr>
      <w:r w:rsidRPr="002E699A">
        <w:rPr>
          <w:rFonts w:cs="Arial"/>
          <w:b/>
        </w:rPr>
        <w:t xml:space="preserve">Following Notification </w:t>
      </w:r>
    </w:p>
    <w:p w14:paraId="7405A164" w14:textId="77777777" w:rsidR="002E699A" w:rsidRPr="002E699A" w:rsidRDefault="002E699A" w:rsidP="002E699A">
      <w:pPr>
        <w:spacing w:line="240" w:lineRule="auto"/>
        <w:jc w:val="both"/>
        <w:rPr>
          <w:rFonts w:cs="Arial"/>
        </w:rPr>
      </w:pPr>
    </w:p>
    <w:p w14:paraId="170D7603" w14:textId="77777777" w:rsidR="002E699A" w:rsidRPr="002E699A" w:rsidRDefault="002E699A" w:rsidP="002E699A">
      <w:pPr>
        <w:rPr>
          <w:rFonts w:cs="Arial"/>
        </w:rPr>
      </w:pPr>
      <w:r w:rsidRPr="002E699A">
        <w:rPr>
          <w:rFonts w:cs="Arial"/>
        </w:rPr>
        <w:t xml:space="preserve">The employee and manager must ensure that an accident form is completed, and that any necessary investigation has/is being carried out, including a written/signed statement from the individual regarding the circumstances to their injury/illness. </w:t>
      </w:r>
    </w:p>
    <w:p w14:paraId="7A750E27" w14:textId="77777777" w:rsidR="002E699A" w:rsidRPr="002E699A" w:rsidRDefault="002E699A" w:rsidP="002E699A">
      <w:pPr>
        <w:rPr>
          <w:rFonts w:cs="Arial"/>
        </w:rPr>
      </w:pPr>
    </w:p>
    <w:p w14:paraId="77ACEFCA" w14:textId="77777777" w:rsidR="002E699A" w:rsidRPr="002E699A" w:rsidRDefault="002E699A" w:rsidP="002E699A">
      <w:pPr>
        <w:rPr>
          <w:rFonts w:cs="Arial"/>
        </w:rPr>
      </w:pPr>
      <w:r w:rsidRPr="002E699A">
        <w:rPr>
          <w:rFonts w:cs="Arial"/>
        </w:rPr>
        <w:t xml:space="preserve">Managers are encouraged to seek advice from the HR team when managing instances of workplace injuries. </w:t>
      </w:r>
    </w:p>
    <w:p w14:paraId="407821E0" w14:textId="77777777" w:rsidR="002E699A" w:rsidRPr="002E699A" w:rsidRDefault="002E699A" w:rsidP="002E699A">
      <w:pPr>
        <w:rPr>
          <w:rFonts w:cs="Arial"/>
        </w:rPr>
      </w:pPr>
    </w:p>
    <w:p w14:paraId="5BB87434" w14:textId="77777777" w:rsidR="002E699A" w:rsidRPr="002E699A" w:rsidRDefault="002E699A" w:rsidP="002E699A">
      <w:pPr>
        <w:rPr>
          <w:color w:val="1F497D"/>
        </w:rPr>
      </w:pPr>
      <w:r w:rsidRPr="002E699A">
        <w:rPr>
          <w:rFonts w:cs="Arial"/>
        </w:rPr>
        <w:t xml:space="preserve">Advice should also be sought from Health and Safety, including reference to </w:t>
      </w:r>
      <w:r w:rsidRPr="002E699A">
        <w:t xml:space="preserve">the Adverse Safety Event Procedure on </w:t>
      </w:r>
      <w:proofErr w:type="spellStart"/>
      <w:r w:rsidRPr="002E699A">
        <w:t>Sharepoint</w:t>
      </w:r>
      <w:proofErr w:type="spellEnd"/>
      <w:r w:rsidRPr="002E699A">
        <w:t>:</w:t>
      </w:r>
      <w:r w:rsidRPr="002E699A">
        <w:rPr>
          <w:color w:val="1F497D"/>
        </w:rPr>
        <w:t xml:space="preserve"> </w:t>
      </w:r>
      <w:hyperlink r:id="rId11" w:history="1">
        <w:r w:rsidRPr="002E699A">
          <w:rPr>
            <w:b/>
            <w:color w:val="C00000"/>
          </w:rPr>
          <w:t>Adverse Safety Event Procedure</w:t>
        </w:r>
      </w:hyperlink>
      <w:r w:rsidRPr="002E699A">
        <w:rPr>
          <w:rFonts w:cs="Arial"/>
        </w:rPr>
        <w:t xml:space="preserve">. </w:t>
      </w:r>
    </w:p>
    <w:p w14:paraId="4E4EC2F6" w14:textId="77777777" w:rsidR="002E699A" w:rsidRPr="002E699A" w:rsidRDefault="002E699A" w:rsidP="002E699A">
      <w:pPr>
        <w:rPr>
          <w:rFonts w:cs="Arial"/>
        </w:rPr>
      </w:pPr>
    </w:p>
    <w:p w14:paraId="3E9A2990" w14:textId="77777777" w:rsidR="002E699A" w:rsidRPr="002E699A" w:rsidRDefault="002E699A" w:rsidP="002E699A">
      <w:pPr>
        <w:rPr>
          <w:rFonts w:cs="Arial"/>
        </w:rPr>
      </w:pPr>
      <w:r w:rsidRPr="002E699A">
        <w:rPr>
          <w:rFonts w:cs="Arial"/>
        </w:rPr>
        <w:t xml:space="preserve">Health and safety processes must have been followed for every situation.  In situations where health and safety processes have not been adhered too, this may result in the injury or illness not being dealt with as work-related.  </w:t>
      </w:r>
    </w:p>
    <w:p w14:paraId="3B395D1E" w14:textId="77777777" w:rsidR="002E699A" w:rsidRPr="002E699A" w:rsidRDefault="002E699A" w:rsidP="002E699A">
      <w:pPr>
        <w:spacing w:line="240" w:lineRule="auto"/>
        <w:jc w:val="both"/>
        <w:rPr>
          <w:rFonts w:cs="Arial"/>
        </w:rPr>
      </w:pPr>
    </w:p>
    <w:p w14:paraId="22B61FA4" w14:textId="77777777" w:rsidR="002E699A" w:rsidRPr="002E699A" w:rsidRDefault="002E699A" w:rsidP="002E699A">
      <w:pPr>
        <w:spacing w:line="240" w:lineRule="auto"/>
        <w:rPr>
          <w:rFonts w:cs="Arial"/>
        </w:rPr>
      </w:pPr>
      <w:r w:rsidRPr="002E699A">
        <w:rPr>
          <w:rFonts w:cs="Arial"/>
        </w:rPr>
        <w:t xml:space="preserve">Managers should also seek advice from Occupational Health to discuss whether a referral is appropriate and ensure support mechanisms are in place for the employee. If a referral is appropriate this must be made to Occupational Health as soon as possible, even if the work-related injury or illness has not resulted in an absence from work. Employees must consent to an Occupational Health referral. Managers will need to clearly outline the medical questions they would like to be answered. Occupational Health may gain additional medical information from a GP/Consultant if the medical condition has not been previously disclosed to Occupational Health.  </w:t>
      </w:r>
    </w:p>
    <w:p w14:paraId="3FE8A4F4" w14:textId="77777777" w:rsidR="002E699A" w:rsidRPr="002E699A" w:rsidRDefault="002E699A" w:rsidP="002E699A">
      <w:pPr>
        <w:spacing w:line="240" w:lineRule="auto"/>
        <w:rPr>
          <w:rFonts w:cs="Arial"/>
        </w:rPr>
      </w:pPr>
    </w:p>
    <w:p w14:paraId="5B0CFE54" w14:textId="77777777" w:rsidR="002E699A" w:rsidRPr="002E699A" w:rsidRDefault="002E699A" w:rsidP="002E699A">
      <w:pPr>
        <w:spacing w:line="240" w:lineRule="auto"/>
      </w:pPr>
      <w:r w:rsidRPr="002E699A">
        <w:t xml:space="preserve">Where there is a divergence of opinion between the Occupational Health Physician and an employee’s treating medical practitioner over either the employee’s fitness for duty; or for the purpose of calculating pay entitlement, the question of whether an illness or injury has arisen out of authorised duty, an independent medical opinion should be sought to resolve the matter.  </w:t>
      </w:r>
    </w:p>
    <w:p w14:paraId="1C85C69E" w14:textId="77777777" w:rsidR="002E699A" w:rsidRPr="002E699A" w:rsidRDefault="002E699A" w:rsidP="002E699A">
      <w:pPr>
        <w:spacing w:line="240" w:lineRule="auto"/>
        <w:rPr>
          <w:rFonts w:cs="Arial"/>
        </w:rPr>
      </w:pPr>
    </w:p>
    <w:p w14:paraId="532156AA" w14:textId="77777777" w:rsidR="002E699A" w:rsidRPr="002E699A" w:rsidRDefault="002E699A" w:rsidP="002E699A">
      <w:pPr>
        <w:spacing w:line="240" w:lineRule="auto"/>
        <w:contextualSpacing/>
        <w:rPr>
          <w:rFonts w:cs="Arial"/>
        </w:rPr>
      </w:pPr>
      <w:r w:rsidRPr="002E699A">
        <w:rPr>
          <w:rFonts w:cs="Arial"/>
        </w:rPr>
        <w:t xml:space="preserve">Managers should follow the absence management procedures stated in the Absence and Wellbeing policy during any period of absence.  </w:t>
      </w:r>
    </w:p>
    <w:p w14:paraId="4106AB99" w14:textId="77777777" w:rsidR="002E699A" w:rsidRPr="002E699A" w:rsidRDefault="002E699A" w:rsidP="002E699A">
      <w:pPr>
        <w:spacing w:line="240" w:lineRule="auto"/>
        <w:jc w:val="both"/>
        <w:rPr>
          <w:rFonts w:cs="Arial"/>
        </w:rPr>
      </w:pPr>
    </w:p>
    <w:p w14:paraId="37F1DF61" w14:textId="77777777" w:rsidR="002E699A" w:rsidRPr="002E699A" w:rsidRDefault="002E699A" w:rsidP="002E699A">
      <w:pPr>
        <w:rPr>
          <w:rFonts w:cs="Arial"/>
          <w:b/>
        </w:rPr>
      </w:pPr>
      <w:r w:rsidRPr="002E699A">
        <w:rPr>
          <w:rFonts w:cs="Arial"/>
          <w:b/>
        </w:rPr>
        <w:t xml:space="preserve">Decision Making </w:t>
      </w:r>
    </w:p>
    <w:p w14:paraId="55135B10" w14:textId="77777777" w:rsidR="002E699A" w:rsidRPr="002E699A" w:rsidRDefault="002E699A" w:rsidP="002E699A">
      <w:pPr>
        <w:rPr>
          <w:rFonts w:cs="Arial"/>
          <w:sz w:val="20"/>
        </w:rPr>
      </w:pPr>
    </w:p>
    <w:p w14:paraId="629951F2" w14:textId="77777777" w:rsidR="002E699A" w:rsidRPr="002E699A" w:rsidRDefault="002E699A" w:rsidP="002E699A">
      <w:pPr>
        <w:spacing w:line="240" w:lineRule="auto"/>
        <w:rPr>
          <w:rFonts w:cs="Arial"/>
        </w:rPr>
      </w:pPr>
      <w:r w:rsidRPr="002E699A">
        <w:rPr>
          <w:rFonts w:cs="Arial"/>
        </w:rPr>
        <w:t xml:space="preserve">The manager is responsible for determining if the injury, disease or other health condition is wholly or mainly attributable to the employee’s CFRS duties of employment following the investigation and receiving advice from Occupational Health, Health and Safety and HR. The manager may wish to discuss the matter with a senior manager to ensure consistency and fairness of decision making across the Service.  </w:t>
      </w:r>
    </w:p>
    <w:p w14:paraId="2EE9A8A7" w14:textId="77777777" w:rsidR="002E699A" w:rsidRPr="002E699A" w:rsidRDefault="002E699A" w:rsidP="002E699A">
      <w:pPr>
        <w:spacing w:line="240" w:lineRule="auto"/>
        <w:rPr>
          <w:rFonts w:cs="Arial"/>
          <w:sz w:val="20"/>
        </w:rPr>
      </w:pPr>
    </w:p>
    <w:p w14:paraId="54F7CC2F" w14:textId="77777777" w:rsidR="002E699A" w:rsidRPr="002E699A" w:rsidRDefault="002E699A" w:rsidP="002E699A">
      <w:pPr>
        <w:spacing w:line="240" w:lineRule="auto"/>
        <w:rPr>
          <w:rFonts w:cs="Arial"/>
        </w:rPr>
      </w:pPr>
      <w:r w:rsidRPr="002E699A">
        <w:rPr>
          <w:rFonts w:cs="Arial"/>
        </w:rPr>
        <w:t xml:space="preserve">Managers may find it helpful to set up a meeting to discuss the issue with Health and Safety, HR and Occupational Health prior to determining if the injury/illness has been due to authorised duties.    </w:t>
      </w:r>
    </w:p>
    <w:p w14:paraId="416105C9" w14:textId="77777777" w:rsidR="002E699A" w:rsidRPr="002E699A" w:rsidRDefault="002E699A" w:rsidP="002E699A">
      <w:pPr>
        <w:spacing w:line="240" w:lineRule="auto"/>
        <w:rPr>
          <w:rFonts w:cs="Arial"/>
          <w:sz w:val="20"/>
        </w:rPr>
      </w:pPr>
    </w:p>
    <w:p w14:paraId="4227BA46" w14:textId="77777777" w:rsidR="002E699A" w:rsidRPr="002E699A" w:rsidRDefault="002E699A" w:rsidP="002E699A">
      <w:pPr>
        <w:spacing w:line="240" w:lineRule="auto"/>
        <w:rPr>
          <w:rFonts w:cs="Arial"/>
        </w:rPr>
      </w:pPr>
      <w:r w:rsidRPr="002E699A">
        <w:rPr>
          <w:rFonts w:cs="Arial"/>
        </w:rPr>
        <w:t xml:space="preserve">The information required for decision making includes: </w:t>
      </w:r>
    </w:p>
    <w:p w14:paraId="0921E97F" w14:textId="77777777" w:rsidR="002E699A" w:rsidRPr="002E699A" w:rsidRDefault="002E699A" w:rsidP="002E699A">
      <w:pPr>
        <w:spacing w:line="240" w:lineRule="auto"/>
        <w:rPr>
          <w:rFonts w:cs="Arial"/>
        </w:rPr>
      </w:pPr>
    </w:p>
    <w:p w14:paraId="75076D59" w14:textId="77777777" w:rsidR="002E699A" w:rsidRPr="002E699A" w:rsidRDefault="002E699A" w:rsidP="002E699A">
      <w:pPr>
        <w:numPr>
          <w:ilvl w:val="0"/>
          <w:numId w:val="35"/>
        </w:numPr>
        <w:spacing w:after="200" w:line="240" w:lineRule="auto"/>
        <w:ind w:left="567" w:hanging="567"/>
        <w:contextualSpacing/>
        <w:rPr>
          <w:rFonts w:cs="Arial"/>
        </w:rPr>
      </w:pPr>
      <w:r w:rsidRPr="002E699A">
        <w:rPr>
          <w:rFonts w:cs="Arial"/>
        </w:rPr>
        <w:t>Managers should make efficient robust decisions as soon as possible based on all available evidence and this may include:</w:t>
      </w:r>
    </w:p>
    <w:p w14:paraId="38FAE2B9" w14:textId="77777777" w:rsidR="002E699A" w:rsidRPr="002E699A" w:rsidRDefault="002E699A" w:rsidP="002E699A">
      <w:pPr>
        <w:numPr>
          <w:ilvl w:val="1"/>
          <w:numId w:val="35"/>
        </w:numPr>
        <w:spacing w:after="200" w:line="240" w:lineRule="auto"/>
        <w:contextualSpacing/>
        <w:rPr>
          <w:rFonts w:cs="Arial"/>
        </w:rPr>
      </w:pPr>
      <w:r w:rsidRPr="002E699A">
        <w:rPr>
          <w:rFonts w:cs="Arial"/>
        </w:rPr>
        <w:t>details of the injury sustained, or the disease contracted (that is, the condition) by the employee.</w:t>
      </w:r>
    </w:p>
    <w:p w14:paraId="0BD8A28F" w14:textId="77777777" w:rsidR="002E699A" w:rsidRPr="002E699A" w:rsidRDefault="002E699A" w:rsidP="002E699A">
      <w:pPr>
        <w:numPr>
          <w:ilvl w:val="1"/>
          <w:numId w:val="35"/>
        </w:numPr>
        <w:spacing w:after="200" w:line="240" w:lineRule="auto"/>
        <w:contextualSpacing/>
        <w:rPr>
          <w:rFonts w:cs="Arial"/>
        </w:rPr>
      </w:pPr>
      <w:r w:rsidRPr="002E699A">
        <w:rPr>
          <w:rFonts w:cs="Arial"/>
        </w:rPr>
        <w:t>how it is connected to their employment (that is, what caused it).</w:t>
      </w:r>
    </w:p>
    <w:p w14:paraId="10E10924" w14:textId="77777777" w:rsidR="002E699A" w:rsidRPr="002E699A" w:rsidRDefault="002E699A" w:rsidP="002E699A">
      <w:pPr>
        <w:spacing w:line="240" w:lineRule="auto"/>
        <w:ind w:left="567"/>
        <w:contextualSpacing/>
        <w:rPr>
          <w:rFonts w:cs="Arial"/>
        </w:rPr>
      </w:pPr>
    </w:p>
    <w:p w14:paraId="24285E9B" w14:textId="77777777" w:rsidR="002E699A" w:rsidRPr="002E699A" w:rsidRDefault="002E699A" w:rsidP="002E699A">
      <w:pPr>
        <w:numPr>
          <w:ilvl w:val="0"/>
          <w:numId w:val="35"/>
        </w:numPr>
        <w:spacing w:after="200" w:line="240" w:lineRule="auto"/>
        <w:ind w:left="567" w:hanging="567"/>
        <w:contextualSpacing/>
        <w:rPr>
          <w:rFonts w:cs="Arial"/>
        </w:rPr>
      </w:pPr>
      <w:r w:rsidRPr="002E699A">
        <w:rPr>
          <w:rFonts w:cs="Arial"/>
        </w:rPr>
        <w:t>To support their decision-making managers may find it useful to obtain copies of the following:</w:t>
      </w:r>
    </w:p>
    <w:p w14:paraId="3BC22073" w14:textId="77777777" w:rsidR="002E699A" w:rsidRPr="002E699A" w:rsidRDefault="002E699A" w:rsidP="002E699A">
      <w:pPr>
        <w:numPr>
          <w:ilvl w:val="1"/>
          <w:numId w:val="35"/>
        </w:numPr>
        <w:spacing w:after="200" w:line="240" w:lineRule="auto"/>
        <w:contextualSpacing/>
        <w:rPr>
          <w:rFonts w:cs="Arial"/>
        </w:rPr>
      </w:pPr>
      <w:r w:rsidRPr="002E699A">
        <w:rPr>
          <w:rFonts w:cs="Arial"/>
        </w:rPr>
        <w:t>Accident and investigation report(s).</w:t>
      </w:r>
    </w:p>
    <w:p w14:paraId="2163A1D6" w14:textId="77777777" w:rsidR="002E699A" w:rsidRPr="002E699A" w:rsidRDefault="002E699A" w:rsidP="002E699A">
      <w:pPr>
        <w:numPr>
          <w:ilvl w:val="1"/>
          <w:numId w:val="35"/>
        </w:numPr>
        <w:spacing w:after="200" w:line="240" w:lineRule="auto"/>
        <w:contextualSpacing/>
        <w:rPr>
          <w:rFonts w:cs="Arial"/>
        </w:rPr>
      </w:pPr>
      <w:r w:rsidRPr="002E699A">
        <w:rPr>
          <w:rFonts w:cs="Arial"/>
        </w:rPr>
        <w:t>Job description, including details of the location of work, duties of employment and training records etc.</w:t>
      </w:r>
    </w:p>
    <w:p w14:paraId="06446237" w14:textId="77777777" w:rsidR="002E699A" w:rsidRPr="002E699A" w:rsidRDefault="002E699A" w:rsidP="002E699A">
      <w:pPr>
        <w:numPr>
          <w:ilvl w:val="1"/>
          <w:numId w:val="35"/>
        </w:numPr>
        <w:spacing w:after="200" w:line="240" w:lineRule="auto"/>
        <w:contextualSpacing/>
        <w:rPr>
          <w:rFonts w:cs="Arial"/>
        </w:rPr>
      </w:pPr>
      <w:r w:rsidRPr="002E699A">
        <w:rPr>
          <w:rFonts w:cs="Arial"/>
        </w:rPr>
        <w:t>Sickness absence record.</w:t>
      </w:r>
    </w:p>
    <w:p w14:paraId="087898CC" w14:textId="77777777" w:rsidR="002E699A" w:rsidRPr="002E699A" w:rsidRDefault="002E699A" w:rsidP="002E699A">
      <w:pPr>
        <w:numPr>
          <w:ilvl w:val="1"/>
          <w:numId w:val="35"/>
        </w:numPr>
        <w:spacing w:after="200" w:line="240" w:lineRule="auto"/>
        <w:contextualSpacing/>
        <w:rPr>
          <w:rFonts w:cs="Arial"/>
        </w:rPr>
      </w:pPr>
      <w:r w:rsidRPr="002E699A">
        <w:rPr>
          <w:rFonts w:cs="Arial"/>
        </w:rPr>
        <w:t xml:space="preserve">The circumstances leading up this injury/disease being sustained or contracted. </w:t>
      </w:r>
    </w:p>
    <w:p w14:paraId="158A8229" w14:textId="77777777" w:rsidR="002E699A" w:rsidRPr="002E699A" w:rsidRDefault="002E699A" w:rsidP="002E699A">
      <w:pPr>
        <w:numPr>
          <w:ilvl w:val="1"/>
          <w:numId w:val="35"/>
        </w:numPr>
        <w:spacing w:after="200" w:line="240" w:lineRule="auto"/>
        <w:contextualSpacing/>
        <w:rPr>
          <w:rFonts w:cs="Arial"/>
        </w:rPr>
      </w:pPr>
      <w:r w:rsidRPr="002E699A">
        <w:rPr>
          <w:rFonts w:cs="Arial"/>
        </w:rPr>
        <w:t>Occupational health referral information and associated reports (requires employee’s consent)</w:t>
      </w:r>
    </w:p>
    <w:p w14:paraId="7DB00D46" w14:textId="77777777" w:rsidR="002E699A" w:rsidRPr="002E699A" w:rsidRDefault="002E699A" w:rsidP="002E699A">
      <w:pPr>
        <w:numPr>
          <w:ilvl w:val="1"/>
          <w:numId w:val="35"/>
        </w:numPr>
        <w:spacing w:after="200" w:line="240" w:lineRule="auto"/>
        <w:contextualSpacing/>
        <w:rPr>
          <w:rFonts w:cs="Arial"/>
        </w:rPr>
      </w:pPr>
      <w:r w:rsidRPr="002E699A">
        <w:rPr>
          <w:rFonts w:cs="Arial"/>
        </w:rPr>
        <w:t>Appropriate medical advice, for example, from the Occupational Health service.</w:t>
      </w:r>
    </w:p>
    <w:p w14:paraId="65FA20FA" w14:textId="77777777" w:rsidR="002E699A" w:rsidRPr="002E699A" w:rsidRDefault="002E699A" w:rsidP="002E699A">
      <w:pPr>
        <w:numPr>
          <w:ilvl w:val="1"/>
          <w:numId w:val="35"/>
        </w:numPr>
        <w:spacing w:after="200" w:line="240" w:lineRule="auto"/>
        <w:contextualSpacing/>
        <w:rPr>
          <w:rFonts w:cs="Arial"/>
        </w:rPr>
      </w:pPr>
      <w:r w:rsidRPr="002E699A">
        <w:rPr>
          <w:rFonts w:cs="Arial"/>
        </w:rPr>
        <w:t>Details of Personal Injury Claim (if applicable)</w:t>
      </w:r>
    </w:p>
    <w:p w14:paraId="47CFFC0C" w14:textId="77777777" w:rsidR="002E699A" w:rsidRPr="002E699A" w:rsidRDefault="002E699A" w:rsidP="002E699A">
      <w:pPr>
        <w:spacing w:line="240" w:lineRule="auto"/>
        <w:ind w:left="567"/>
        <w:contextualSpacing/>
        <w:rPr>
          <w:rFonts w:cs="Arial"/>
        </w:rPr>
      </w:pPr>
    </w:p>
    <w:p w14:paraId="11054169" w14:textId="77777777" w:rsidR="002E699A" w:rsidRPr="002E699A" w:rsidRDefault="002E699A" w:rsidP="002E699A">
      <w:pPr>
        <w:numPr>
          <w:ilvl w:val="0"/>
          <w:numId w:val="35"/>
        </w:numPr>
        <w:spacing w:after="200" w:line="240" w:lineRule="auto"/>
        <w:ind w:left="567" w:hanging="567"/>
        <w:contextualSpacing/>
        <w:rPr>
          <w:rFonts w:cs="Arial"/>
        </w:rPr>
      </w:pPr>
      <w:r w:rsidRPr="002E699A">
        <w:rPr>
          <w:rFonts w:cs="Arial"/>
        </w:rPr>
        <w:t>Managers may also find it helpful to obtain additional supporting and corroborating evidence, for example, witness statements and copies of any relevant letters and correspondence relating to any other medical advice received.</w:t>
      </w:r>
    </w:p>
    <w:p w14:paraId="11AB25F3" w14:textId="77777777" w:rsidR="002E699A" w:rsidRPr="002E699A" w:rsidRDefault="002E699A" w:rsidP="002E699A">
      <w:pPr>
        <w:spacing w:line="240" w:lineRule="auto"/>
        <w:rPr>
          <w:rFonts w:cs="Arial"/>
          <w:b/>
        </w:rPr>
      </w:pPr>
    </w:p>
    <w:p w14:paraId="6DDB95B8" w14:textId="77777777" w:rsidR="002E699A" w:rsidRPr="002E699A" w:rsidRDefault="002E699A" w:rsidP="002E699A">
      <w:pPr>
        <w:spacing w:line="240" w:lineRule="auto"/>
        <w:rPr>
          <w:rFonts w:cs="Arial"/>
          <w:b/>
        </w:rPr>
      </w:pPr>
      <w:r w:rsidRPr="002E699A">
        <w:rPr>
          <w:rFonts w:cs="Arial"/>
          <w:b/>
        </w:rPr>
        <w:t xml:space="preserve">Following Decision </w:t>
      </w:r>
    </w:p>
    <w:p w14:paraId="1C0BA7C3" w14:textId="77777777" w:rsidR="002E699A" w:rsidRPr="002E699A" w:rsidRDefault="002E699A" w:rsidP="002E699A">
      <w:pPr>
        <w:spacing w:line="240" w:lineRule="auto"/>
        <w:jc w:val="both"/>
        <w:rPr>
          <w:rFonts w:cs="Arial"/>
        </w:rPr>
      </w:pPr>
    </w:p>
    <w:p w14:paraId="062F9752" w14:textId="77777777" w:rsidR="002E699A" w:rsidRPr="002E699A" w:rsidRDefault="002E699A" w:rsidP="002E699A">
      <w:pPr>
        <w:spacing w:after="200" w:line="240" w:lineRule="auto"/>
        <w:rPr>
          <w:rFonts w:cs="Arial"/>
        </w:rPr>
      </w:pPr>
      <w:r w:rsidRPr="002E699A">
        <w:rPr>
          <w:rFonts w:cs="Arial"/>
        </w:rPr>
        <w:t xml:space="preserve">Managers should communicate any decision made in respect of workplace injury and associated entitlements to employees as soon as possible and confirm it in writing. The formal aspect of the Absence and Wellbeing process may be used for this. </w:t>
      </w:r>
    </w:p>
    <w:p w14:paraId="6ACCD018" w14:textId="77777777" w:rsidR="002E699A" w:rsidRPr="002E699A" w:rsidRDefault="002E699A" w:rsidP="002E699A">
      <w:pPr>
        <w:spacing w:line="240" w:lineRule="auto"/>
        <w:rPr>
          <w:rFonts w:cs="Arial"/>
        </w:rPr>
      </w:pPr>
      <w:r w:rsidRPr="002E699A">
        <w:rPr>
          <w:rFonts w:cs="Arial"/>
        </w:rPr>
        <w:t>If an injury/illness is determined as not arisen from authorised duties, normal sickness absence pay provisions will apply.</w:t>
      </w:r>
    </w:p>
    <w:p w14:paraId="4E582879" w14:textId="77777777" w:rsidR="002E699A" w:rsidRPr="002E699A" w:rsidRDefault="002E699A" w:rsidP="002E699A">
      <w:pPr>
        <w:spacing w:line="240" w:lineRule="auto"/>
        <w:rPr>
          <w:rFonts w:cs="Arial"/>
        </w:rPr>
      </w:pPr>
    </w:p>
    <w:p w14:paraId="27157842"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color w:val="000000" w:themeColor="text1"/>
        </w:rPr>
      </w:pPr>
      <w:r w:rsidRPr="002E699A">
        <w:rPr>
          <w:rFonts w:cs="Arial"/>
        </w:rPr>
        <w:t xml:space="preserve">If it is determined that an injury or illness has arisen from authorised </w:t>
      </w:r>
      <w:proofErr w:type="gramStart"/>
      <w:r w:rsidRPr="002E699A">
        <w:rPr>
          <w:rFonts w:cs="Arial"/>
        </w:rPr>
        <w:t>duties</w:t>
      </w:r>
      <w:proofErr w:type="gramEnd"/>
      <w:r w:rsidRPr="002E699A">
        <w:rPr>
          <w:rFonts w:cs="Arial"/>
        </w:rPr>
        <w:t xml:space="preserve"> then this must be recorded on the HR system as an ‘Accident at Work’ by updating the absence reason if necessary.  </w:t>
      </w:r>
    </w:p>
    <w:p w14:paraId="7DB34EB2"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color w:val="000000" w:themeColor="text1"/>
        </w:rPr>
      </w:pPr>
    </w:p>
    <w:p w14:paraId="62DEF0E2"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color w:val="000000" w:themeColor="text1"/>
        </w:rPr>
      </w:pPr>
      <w:r w:rsidRPr="002E699A">
        <w:rPr>
          <w:rFonts w:cs="Arial"/>
        </w:rPr>
        <w:t>All absences will be managed in line with the Absence and Wellbeing Procedure which aims to facilitate a return to work as soon as possible.</w:t>
      </w:r>
    </w:p>
    <w:p w14:paraId="1DCBEF70" w14:textId="77777777" w:rsidR="002E699A" w:rsidRPr="002E699A" w:rsidRDefault="002E699A" w:rsidP="002E699A">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uto"/>
        <w:rPr>
          <w:color w:val="000000" w:themeColor="text1"/>
        </w:rPr>
      </w:pPr>
    </w:p>
    <w:p w14:paraId="33AD4D4B" w14:textId="77777777" w:rsidR="002E699A" w:rsidRPr="002E699A" w:rsidRDefault="002E699A" w:rsidP="002E699A">
      <w:pPr>
        <w:rPr>
          <w:rFonts w:cs="Arial"/>
          <w:b/>
        </w:rPr>
      </w:pPr>
      <w:r w:rsidRPr="002E699A">
        <w:rPr>
          <w:rFonts w:cs="Arial"/>
          <w:b/>
        </w:rPr>
        <w:t>Appeals Process</w:t>
      </w:r>
    </w:p>
    <w:p w14:paraId="1A7AF32A" w14:textId="77777777" w:rsidR="002E699A" w:rsidRPr="002E699A" w:rsidRDefault="002E699A" w:rsidP="002E699A">
      <w:pPr>
        <w:rPr>
          <w:rFonts w:cs="Arial"/>
          <w:b/>
        </w:rPr>
      </w:pPr>
    </w:p>
    <w:p w14:paraId="79CF5F95" w14:textId="77777777" w:rsidR="002E699A" w:rsidRPr="002E699A" w:rsidRDefault="002E699A" w:rsidP="002E699A">
      <w:pPr>
        <w:spacing w:line="240" w:lineRule="auto"/>
        <w:rPr>
          <w:rFonts w:cs="Arial"/>
        </w:rPr>
      </w:pPr>
      <w:r w:rsidRPr="002E699A">
        <w:rPr>
          <w:rFonts w:cs="Arial"/>
        </w:rPr>
        <w:t xml:space="preserve">If an employee disagrees with the outcome of a decision about dealing with an absence as a work-related injury or illness it can be dealt with in accordance with the Workplace Complaints Procedure. </w:t>
      </w:r>
    </w:p>
    <w:p w14:paraId="7B8EE6AF" w14:textId="29C84918" w:rsidR="005A1EE8" w:rsidRDefault="005A1EE8" w:rsidP="0064303C">
      <w:pPr>
        <w:spacing w:before="120" w:after="120" w:line="240" w:lineRule="auto"/>
        <w:jc w:val="both"/>
        <w:rPr>
          <w:rFonts w:cs="Arial"/>
          <w:bCs/>
          <w:color w:val="393938"/>
        </w:rPr>
      </w:pPr>
    </w:p>
    <w:p w14:paraId="2C1AED0B" w14:textId="20049504" w:rsidR="00835F95" w:rsidRDefault="00835F95" w:rsidP="0064303C">
      <w:pPr>
        <w:spacing w:before="120" w:after="120" w:line="240" w:lineRule="auto"/>
        <w:jc w:val="both"/>
        <w:rPr>
          <w:rFonts w:cs="Arial"/>
          <w:bCs/>
          <w:color w:val="393938"/>
        </w:rPr>
      </w:pPr>
    </w:p>
    <w:p w14:paraId="6AD58202" w14:textId="1BE9727A" w:rsidR="00835F95" w:rsidRDefault="00835F95" w:rsidP="0064303C">
      <w:pPr>
        <w:spacing w:before="120" w:after="120" w:line="240" w:lineRule="auto"/>
        <w:jc w:val="both"/>
        <w:rPr>
          <w:rFonts w:cs="Arial"/>
          <w:bCs/>
          <w:color w:val="393938"/>
        </w:rPr>
      </w:pPr>
    </w:p>
    <w:p w14:paraId="65D96D96" w14:textId="614E0754" w:rsidR="00835F95" w:rsidRDefault="00835F95" w:rsidP="0064303C">
      <w:pPr>
        <w:spacing w:before="120" w:after="120" w:line="240" w:lineRule="auto"/>
        <w:jc w:val="both"/>
        <w:rPr>
          <w:rFonts w:cs="Arial"/>
          <w:bCs/>
          <w:color w:val="393938"/>
        </w:rPr>
      </w:pPr>
    </w:p>
    <w:p w14:paraId="11ECD985" w14:textId="77777777" w:rsidR="00835F95" w:rsidRPr="00835F95" w:rsidRDefault="00835F95" w:rsidP="0064303C">
      <w:pPr>
        <w:spacing w:before="120" w:after="120" w:line="240" w:lineRule="auto"/>
        <w:jc w:val="both"/>
        <w:rPr>
          <w:rStyle w:val="Hyperlink"/>
        </w:rPr>
      </w:pPr>
    </w:p>
    <w:sectPr w:rsidR="00835F95" w:rsidRPr="00835F95" w:rsidSect="00835F95">
      <w:headerReference w:type="even" r:id="rId12"/>
      <w:headerReference w:type="default" r:id="rId13"/>
      <w:footerReference w:type="even" r:id="rId14"/>
      <w:footerReference w:type="default" r:id="rId15"/>
      <w:headerReference w:type="first" r:id="rId16"/>
      <w:footerReference w:type="first" r:id="rId17"/>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7A00" w14:textId="77777777" w:rsidR="00E86CEE" w:rsidRDefault="00E86CEE">
      <w:r>
        <w:separator/>
      </w:r>
    </w:p>
    <w:p w14:paraId="72F846A9" w14:textId="77777777" w:rsidR="00E86CEE" w:rsidRDefault="00E86CEE"/>
  </w:endnote>
  <w:endnote w:type="continuationSeparator" w:id="0">
    <w:p w14:paraId="71EDC889" w14:textId="77777777" w:rsidR="00E86CEE" w:rsidRDefault="00E86CEE">
      <w:r>
        <w:continuationSeparator/>
      </w:r>
    </w:p>
    <w:p w14:paraId="4A333764" w14:textId="77777777" w:rsidR="00E86CEE" w:rsidRDefault="00E86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p w14:paraId="1DC5EB98" w14:textId="77777777" w:rsidR="00FC1CF2" w:rsidRDefault="00FC1C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49FA1B68" w:rsidR="0064303C" w:rsidRPr="00922A40" w:rsidRDefault="00196E04" w:rsidP="0064303C">
    <w:pPr>
      <w:rPr>
        <w:rFonts w:cs="Arial"/>
        <w:b/>
        <w:color w:val="2C2F2E"/>
        <w:sz w:val="19"/>
        <w:szCs w:val="19"/>
      </w:rPr>
    </w:pPr>
    <w:r>
      <w:rPr>
        <w:rFonts w:cs="Arial"/>
        <w:b/>
        <w:noProof/>
        <w:color w:val="999999"/>
        <w:sz w:val="19"/>
        <w:szCs w:val="19"/>
      </w:rPr>
      <w:drawing>
        <wp:anchor distT="0" distB="0" distL="114300" distR="114300" simplePos="0" relativeHeight="251658752" behindDoc="1" locked="0" layoutInCell="1" allowOverlap="1" wp14:anchorId="0AFB833E" wp14:editId="44823DB9">
          <wp:simplePos x="0" y="0"/>
          <wp:positionH relativeFrom="page">
            <wp:align>left</wp:align>
          </wp:positionH>
          <wp:positionV relativeFrom="paragraph">
            <wp:posOffset>-705485</wp:posOffset>
          </wp:positionV>
          <wp:extent cx="7559675" cy="1549867"/>
          <wp:effectExtent l="0" t="0" r="3175" b="0"/>
          <wp:wrapNone/>
          <wp:docPr id="2090834640" name="Picture 2090834640"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867"/>
                  </a:xfrm>
                  <a:prstGeom prst="rect">
                    <a:avLst/>
                  </a:prstGeom>
                </pic:spPr>
              </pic:pic>
            </a:graphicData>
          </a:graphic>
          <wp14:sizeRelH relativeFrom="page">
            <wp14:pctWidth>0</wp14:pctWidth>
          </wp14:sizeRelH>
          <wp14:sizeRelV relativeFrom="page">
            <wp14:pctHeight>0</wp14:pctHeight>
          </wp14:sizeRelV>
        </wp:anchor>
      </w:drawing>
    </w:r>
    <w:r w:rsidR="00362EE5">
      <w:rPr>
        <w:noProof/>
      </w:rPr>
      <w:drawing>
        <wp:anchor distT="0" distB="0" distL="114300" distR="114300" simplePos="0" relativeHeight="251657728"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t xml:space="preserve">     </w:t>
    </w:r>
    <w:r w:rsidR="0064303C">
      <w:rPr>
        <w:rFonts w:cs="Arial"/>
        <w:b/>
        <w:color w:val="2C2F2E"/>
        <w:sz w:val="19"/>
        <w:szCs w:val="19"/>
      </w:rPr>
      <w:t xml:space="preserve">                                                                                                                        </w:t>
    </w:r>
  </w:p>
  <w:p w14:paraId="047D987F" w14:textId="50A97396" w:rsidR="00282847" w:rsidRDefault="00282847"/>
  <w:p w14:paraId="4696E823" w14:textId="77777777" w:rsidR="00FC1CF2" w:rsidRDefault="00FC1C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835A" w14:textId="77777777" w:rsidR="00E86CEE" w:rsidRDefault="00E86CEE">
      <w:r>
        <w:separator/>
      </w:r>
    </w:p>
    <w:p w14:paraId="2B6CCC91" w14:textId="77777777" w:rsidR="00E86CEE" w:rsidRDefault="00E86CEE"/>
  </w:footnote>
  <w:footnote w:type="continuationSeparator" w:id="0">
    <w:p w14:paraId="36EA328D" w14:textId="77777777" w:rsidR="00E86CEE" w:rsidRDefault="00E86CEE">
      <w:r>
        <w:continuationSeparator/>
      </w:r>
    </w:p>
    <w:p w14:paraId="51A20E0F" w14:textId="77777777" w:rsidR="00E86CEE" w:rsidRDefault="00E86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78E7BAC9" w14:textId="77777777" w:rsidR="00FC1CF2" w:rsidRDefault="00FC1C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p w14:paraId="704F8CE7" w14:textId="77777777" w:rsidR="00FC1CF2" w:rsidRDefault="00FC1C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C83"/>
    <w:multiLevelType w:val="hybridMultilevel"/>
    <w:tmpl w:val="1D3E5B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055BA"/>
    <w:multiLevelType w:val="hybridMultilevel"/>
    <w:tmpl w:val="202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25"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6"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6D2DFB"/>
    <w:multiLevelType w:val="hybridMultilevel"/>
    <w:tmpl w:val="827410AE"/>
    <w:lvl w:ilvl="0" w:tplc="1938C70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4"/>
  </w:num>
  <w:num w:numId="2" w16cid:durableId="2067214319">
    <w:abstractNumId w:val="26"/>
  </w:num>
  <w:num w:numId="3" w16cid:durableId="1679310131">
    <w:abstractNumId w:val="18"/>
  </w:num>
  <w:num w:numId="4" w16cid:durableId="2082213094">
    <w:abstractNumId w:val="31"/>
  </w:num>
  <w:num w:numId="5" w16cid:durableId="1279528031">
    <w:abstractNumId w:val="25"/>
  </w:num>
  <w:num w:numId="6" w16cid:durableId="1948728523">
    <w:abstractNumId w:val="27"/>
  </w:num>
  <w:num w:numId="7" w16cid:durableId="1748765981">
    <w:abstractNumId w:val="10"/>
  </w:num>
  <w:num w:numId="8" w16cid:durableId="770470172">
    <w:abstractNumId w:val="21"/>
  </w:num>
  <w:num w:numId="9" w16cid:durableId="801507558">
    <w:abstractNumId w:val="34"/>
  </w:num>
  <w:num w:numId="10" w16cid:durableId="425855461">
    <w:abstractNumId w:val="7"/>
  </w:num>
  <w:num w:numId="11" w16cid:durableId="1868791141">
    <w:abstractNumId w:val="24"/>
  </w:num>
  <w:num w:numId="12" w16cid:durableId="1149713589">
    <w:abstractNumId w:val="19"/>
  </w:num>
  <w:num w:numId="13" w16cid:durableId="1825971133">
    <w:abstractNumId w:val="32"/>
  </w:num>
  <w:num w:numId="14" w16cid:durableId="501628944">
    <w:abstractNumId w:val="15"/>
  </w:num>
  <w:num w:numId="15" w16cid:durableId="742719538">
    <w:abstractNumId w:val="23"/>
  </w:num>
  <w:num w:numId="16" w16cid:durableId="1095250122">
    <w:abstractNumId w:val="9"/>
  </w:num>
  <w:num w:numId="17" w16cid:durableId="812720222">
    <w:abstractNumId w:val="35"/>
  </w:num>
  <w:num w:numId="18" w16cid:durableId="180556028">
    <w:abstractNumId w:val="20"/>
  </w:num>
  <w:num w:numId="19" w16cid:durableId="1160998515">
    <w:abstractNumId w:val="12"/>
  </w:num>
  <w:num w:numId="20" w16cid:durableId="1679581245">
    <w:abstractNumId w:val="13"/>
  </w:num>
  <w:num w:numId="21" w16cid:durableId="100075873">
    <w:abstractNumId w:val="17"/>
  </w:num>
  <w:num w:numId="22" w16cid:durableId="1531411270">
    <w:abstractNumId w:val="33"/>
  </w:num>
  <w:num w:numId="23" w16cid:durableId="1510289084">
    <w:abstractNumId w:val="5"/>
  </w:num>
  <w:num w:numId="24" w16cid:durableId="864752552">
    <w:abstractNumId w:val="3"/>
  </w:num>
  <w:num w:numId="25" w16cid:durableId="1965429499">
    <w:abstractNumId w:val="8"/>
  </w:num>
  <w:num w:numId="26" w16cid:durableId="1476288997">
    <w:abstractNumId w:val="6"/>
  </w:num>
  <w:num w:numId="27" w16cid:durableId="758795727">
    <w:abstractNumId w:val="30"/>
  </w:num>
  <w:num w:numId="28" w16cid:durableId="1819104245">
    <w:abstractNumId w:val="1"/>
  </w:num>
  <w:num w:numId="29" w16cid:durableId="1275988086">
    <w:abstractNumId w:val="36"/>
  </w:num>
  <w:num w:numId="30" w16cid:durableId="327287912">
    <w:abstractNumId w:val="14"/>
  </w:num>
  <w:num w:numId="31" w16cid:durableId="623586424">
    <w:abstractNumId w:val="2"/>
  </w:num>
  <w:num w:numId="32" w16cid:durableId="613251922">
    <w:abstractNumId w:val="28"/>
  </w:num>
  <w:num w:numId="33" w16cid:durableId="90248434">
    <w:abstractNumId w:val="11"/>
  </w:num>
  <w:num w:numId="34" w16cid:durableId="1233462615">
    <w:abstractNumId w:val="16"/>
  </w:num>
  <w:num w:numId="35" w16cid:durableId="1367173366">
    <w:abstractNumId w:val="0"/>
  </w:num>
  <w:num w:numId="36" w16cid:durableId="683938704">
    <w:abstractNumId w:val="22"/>
  </w:num>
  <w:num w:numId="37" w16cid:durableId="18394678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50164"/>
    <w:rsid w:val="0005097B"/>
    <w:rsid w:val="00054F7E"/>
    <w:rsid w:val="00055692"/>
    <w:rsid w:val="00061865"/>
    <w:rsid w:val="000655C3"/>
    <w:rsid w:val="000655EB"/>
    <w:rsid w:val="000749EF"/>
    <w:rsid w:val="000814C5"/>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CDF"/>
    <w:rsid w:val="00170CE1"/>
    <w:rsid w:val="0018284F"/>
    <w:rsid w:val="00186338"/>
    <w:rsid w:val="00192267"/>
    <w:rsid w:val="00193472"/>
    <w:rsid w:val="00196E04"/>
    <w:rsid w:val="00196EB5"/>
    <w:rsid w:val="001A0858"/>
    <w:rsid w:val="001A1D46"/>
    <w:rsid w:val="001A28C4"/>
    <w:rsid w:val="001A2B01"/>
    <w:rsid w:val="001A6C88"/>
    <w:rsid w:val="001B2021"/>
    <w:rsid w:val="001B2246"/>
    <w:rsid w:val="001B2E3C"/>
    <w:rsid w:val="001B3017"/>
    <w:rsid w:val="001B625A"/>
    <w:rsid w:val="001B7220"/>
    <w:rsid w:val="001C209C"/>
    <w:rsid w:val="001C3023"/>
    <w:rsid w:val="001D0693"/>
    <w:rsid w:val="001E0E1F"/>
    <w:rsid w:val="001E3959"/>
    <w:rsid w:val="001E5DBA"/>
    <w:rsid w:val="001F1C3B"/>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852D1"/>
    <w:rsid w:val="002949B5"/>
    <w:rsid w:val="00297394"/>
    <w:rsid w:val="002A3987"/>
    <w:rsid w:val="002A5203"/>
    <w:rsid w:val="002A52EB"/>
    <w:rsid w:val="002B4ED4"/>
    <w:rsid w:val="002B50B8"/>
    <w:rsid w:val="002D1E19"/>
    <w:rsid w:val="002D2913"/>
    <w:rsid w:val="002D5D8F"/>
    <w:rsid w:val="002E5A18"/>
    <w:rsid w:val="002E699A"/>
    <w:rsid w:val="002E6BB1"/>
    <w:rsid w:val="002E777E"/>
    <w:rsid w:val="002F6191"/>
    <w:rsid w:val="00301D18"/>
    <w:rsid w:val="003078CE"/>
    <w:rsid w:val="00310CE5"/>
    <w:rsid w:val="003139B3"/>
    <w:rsid w:val="00322019"/>
    <w:rsid w:val="00334B61"/>
    <w:rsid w:val="00335A09"/>
    <w:rsid w:val="0034154E"/>
    <w:rsid w:val="00345F8A"/>
    <w:rsid w:val="00352DC9"/>
    <w:rsid w:val="00361F2C"/>
    <w:rsid w:val="00362EE5"/>
    <w:rsid w:val="00373C28"/>
    <w:rsid w:val="003753CB"/>
    <w:rsid w:val="00384EE4"/>
    <w:rsid w:val="0038583D"/>
    <w:rsid w:val="00385FF9"/>
    <w:rsid w:val="003943BA"/>
    <w:rsid w:val="00397922"/>
    <w:rsid w:val="003A1DCD"/>
    <w:rsid w:val="003A23A5"/>
    <w:rsid w:val="003A3117"/>
    <w:rsid w:val="003A68A9"/>
    <w:rsid w:val="003A7FC7"/>
    <w:rsid w:val="003B2690"/>
    <w:rsid w:val="003C3FBE"/>
    <w:rsid w:val="003D18FB"/>
    <w:rsid w:val="003D2E11"/>
    <w:rsid w:val="003D5EC2"/>
    <w:rsid w:val="003E2C80"/>
    <w:rsid w:val="003F172B"/>
    <w:rsid w:val="003F1DA2"/>
    <w:rsid w:val="003F4818"/>
    <w:rsid w:val="004021D3"/>
    <w:rsid w:val="00413E8D"/>
    <w:rsid w:val="004168A4"/>
    <w:rsid w:val="004253EA"/>
    <w:rsid w:val="004263CF"/>
    <w:rsid w:val="00427035"/>
    <w:rsid w:val="004459E2"/>
    <w:rsid w:val="00447A2F"/>
    <w:rsid w:val="00453786"/>
    <w:rsid w:val="004553D8"/>
    <w:rsid w:val="004600CD"/>
    <w:rsid w:val="00462943"/>
    <w:rsid w:val="004740ED"/>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4F413D"/>
    <w:rsid w:val="005012E8"/>
    <w:rsid w:val="00502870"/>
    <w:rsid w:val="00505B1A"/>
    <w:rsid w:val="00506957"/>
    <w:rsid w:val="00515D3D"/>
    <w:rsid w:val="00523C36"/>
    <w:rsid w:val="005267F4"/>
    <w:rsid w:val="00532349"/>
    <w:rsid w:val="00540D1D"/>
    <w:rsid w:val="00541565"/>
    <w:rsid w:val="005464C2"/>
    <w:rsid w:val="00546F07"/>
    <w:rsid w:val="00547376"/>
    <w:rsid w:val="005536FF"/>
    <w:rsid w:val="00555AB3"/>
    <w:rsid w:val="00560E18"/>
    <w:rsid w:val="00566707"/>
    <w:rsid w:val="00573984"/>
    <w:rsid w:val="00573C11"/>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3175"/>
    <w:rsid w:val="006704DE"/>
    <w:rsid w:val="006836F4"/>
    <w:rsid w:val="00687175"/>
    <w:rsid w:val="006A2DCC"/>
    <w:rsid w:val="006B1240"/>
    <w:rsid w:val="006B5DA1"/>
    <w:rsid w:val="006C26C7"/>
    <w:rsid w:val="006C2B40"/>
    <w:rsid w:val="006C36D9"/>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50CE"/>
    <w:rsid w:val="00746AD7"/>
    <w:rsid w:val="00753BE4"/>
    <w:rsid w:val="00754642"/>
    <w:rsid w:val="00756B0B"/>
    <w:rsid w:val="00760636"/>
    <w:rsid w:val="00762E65"/>
    <w:rsid w:val="00784072"/>
    <w:rsid w:val="007A2C86"/>
    <w:rsid w:val="007B3200"/>
    <w:rsid w:val="007B32FB"/>
    <w:rsid w:val="007B45CE"/>
    <w:rsid w:val="007B5F9A"/>
    <w:rsid w:val="007D1565"/>
    <w:rsid w:val="007D33BD"/>
    <w:rsid w:val="007D5313"/>
    <w:rsid w:val="007E02C2"/>
    <w:rsid w:val="007E1BBC"/>
    <w:rsid w:val="007E2DA1"/>
    <w:rsid w:val="007F0F4C"/>
    <w:rsid w:val="007F2DBF"/>
    <w:rsid w:val="007F6EFB"/>
    <w:rsid w:val="008139D7"/>
    <w:rsid w:val="008170FF"/>
    <w:rsid w:val="00820172"/>
    <w:rsid w:val="00821D8E"/>
    <w:rsid w:val="008278C0"/>
    <w:rsid w:val="00830216"/>
    <w:rsid w:val="00835F95"/>
    <w:rsid w:val="00836C10"/>
    <w:rsid w:val="00837D51"/>
    <w:rsid w:val="00844464"/>
    <w:rsid w:val="00846050"/>
    <w:rsid w:val="00864A0C"/>
    <w:rsid w:val="008659FA"/>
    <w:rsid w:val="00867FD0"/>
    <w:rsid w:val="00875A3B"/>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422C2"/>
    <w:rsid w:val="00944FAA"/>
    <w:rsid w:val="00944FC0"/>
    <w:rsid w:val="0095010B"/>
    <w:rsid w:val="0095399F"/>
    <w:rsid w:val="0095778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35D6"/>
    <w:rsid w:val="00A0799E"/>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71D40"/>
    <w:rsid w:val="00B83907"/>
    <w:rsid w:val="00B922A4"/>
    <w:rsid w:val="00B94F92"/>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41CA7"/>
    <w:rsid w:val="00C55D3D"/>
    <w:rsid w:val="00C56CE1"/>
    <w:rsid w:val="00C61FEB"/>
    <w:rsid w:val="00C63A46"/>
    <w:rsid w:val="00C677A3"/>
    <w:rsid w:val="00C708E9"/>
    <w:rsid w:val="00C73FCC"/>
    <w:rsid w:val="00C7453D"/>
    <w:rsid w:val="00C8035F"/>
    <w:rsid w:val="00C820A0"/>
    <w:rsid w:val="00C94AEC"/>
    <w:rsid w:val="00CA07B7"/>
    <w:rsid w:val="00CC0379"/>
    <w:rsid w:val="00CC63A7"/>
    <w:rsid w:val="00CC68EF"/>
    <w:rsid w:val="00CD1AD9"/>
    <w:rsid w:val="00CE1805"/>
    <w:rsid w:val="00CE20F3"/>
    <w:rsid w:val="00CE400C"/>
    <w:rsid w:val="00CE7443"/>
    <w:rsid w:val="00CF0CA0"/>
    <w:rsid w:val="00CF4C18"/>
    <w:rsid w:val="00CF5AAE"/>
    <w:rsid w:val="00D00319"/>
    <w:rsid w:val="00D077D9"/>
    <w:rsid w:val="00D1394C"/>
    <w:rsid w:val="00D13FF1"/>
    <w:rsid w:val="00D278B0"/>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96738"/>
    <w:rsid w:val="00DA64C0"/>
    <w:rsid w:val="00DA7B81"/>
    <w:rsid w:val="00DB34D1"/>
    <w:rsid w:val="00DC396A"/>
    <w:rsid w:val="00DD4E1A"/>
    <w:rsid w:val="00DE060E"/>
    <w:rsid w:val="00DE62A0"/>
    <w:rsid w:val="00DF4AB0"/>
    <w:rsid w:val="00DF5492"/>
    <w:rsid w:val="00E04EB4"/>
    <w:rsid w:val="00E053AA"/>
    <w:rsid w:val="00E12B8F"/>
    <w:rsid w:val="00E21865"/>
    <w:rsid w:val="00E25F08"/>
    <w:rsid w:val="00E32476"/>
    <w:rsid w:val="00E360FE"/>
    <w:rsid w:val="00E36C2C"/>
    <w:rsid w:val="00E533C9"/>
    <w:rsid w:val="00E56122"/>
    <w:rsid w:val="00E567A7"/>
    <w:rsid w:val="00E65945"/>
    <w:rsid w:val="00E7451C"/>
    <w:rsid w:val="00E811C9"/>
    <w:rsid w:val="00E858DF"/>
    <w:rsid w:val="00E85D73"/>
    <w:rsid w:val="00E86CEE"/>
    <w:rsid w:val="00E917A0"/>
    <w:rsid w:val="00E93E19"/>
    <w:rsid w:val="00E978FB"/>
    <w:rsid w:val="00EA0069"/>
    <w:rsid w:val="00EB16FA"/>
    <w:rsid w:val="00EB2C8E"/>
    <w:rsid w:val="00EC35EF"/>
    <w:rsid w:val="00ED1518"/>
    <w:rsid w:val="00ED2D7A"/>
    <w:rsid w:val="00ED49F5"/>
    <w:rsid w:val="00EE0EF1"/>
    <w:rsid w:val="00EF1C0E"/>
    <w:rsid w:val="00EF3B59"/>
    <w:rsid w:val="00EF4D6E"/>
    <w:rsid w:val="00EF7CF6"/>
    <w:rsid w:val="00EF7F31"/>
    <w:rsid w:val="00F016B5"/>
    <w:rsid w:val="00F06DCE"/>
    <w:rsid w:val="00F13F30"/>
    <w:rsid w:val="00F15879"/>
    <w:rsid w:val="00F22886"/>
    <w:rsid w:val="00F242D0"/>
    <w:rsid w:val="00F2493A"/>
    <w:rsid w:val="00F26F9F"/>
    <w:rsid w:val="00F30B0D"/>
    <w:rsid w:val="00F321DB"/>
    <w:rsid w:val="00F528B0"/>
    <w:rsid w:val="00F536D4"/>
    <w:rsid w:val="00F5406D"/>
    <w:rsid w:val="00F62E1E"/>
    <w:rsid w:val="00F65263"/>
    <w:rsid w:val="00F65F3D"/>
    <w:rsid w:val="00F756B1"/>
    <w:rsid w:val="00F809FB"/>
    <w:rsid w:val="00F81BDC"/>
    <w:rsid w:val="00F83AB9"/>
    <w:rsid w:val="00F93D32"/>
    <w:rsid w:val="00F97126"/>
    <w:rsid w:val="00FA151F"/>
    <w:rsid w:val="00FA4FD2"/>
    <w:rsid w:val="00FB6B0E"/>
    <w:rsid w:val="00FC1863"/>
    <w:rsid w:val="00FC1CF2"/>
    <w:rsid w:val="00FC40A5"/>
    <w:rsid w:val="00FD0EA7"/>
    <w:rsid w:val="00FD441A"/>
    <w:rsid w:val="00FE09E4"/>
    <w:rsid w:val="00FF1D46"/>
    <w:rsid w:val="0C43E29E"/>
    <w:rsid w:val="0E0EE848"/>
    <w:rsid w:val="3AA3099E"/>
    <w:rsid w:val="6C10F133"/>
    <w:rsid w:val="76086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cumbria.gov.uk/Fire/policies/CFRS%20Policies%20%20Strategies/Adverse%20Safety%20Event%20Procedure.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partment xmlns="eb0b6ae9-12c2-45c7-bee8-5c89c9f95acf" xsi:nil="true"/>
    <Stage xmlns="eb0b6ae9-12c2-45c7-bee8-5c89c9f95acf">Approved</Stage>
    <Open_x002f_Closed_x0020_for_x0020_Consultation xmlns="eb0b6ae9-12c2-45c7-bee8-5c89c9f95acf">Closed</Open_x002f_Closed_x0020_for_x0020_Consult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B8D51D7F97194A9D127D83C6E35B12" ma:contentTypeVersion="6" ma:contentTypeDescription="Create a new document." ma:contentTypeScope="" ma:versionID="5b7ad2e3b6661d2c7f06d6e6450dadbd">
  <xsd:schema xmlns:xsd="http://www.w3.org/2001/XMLSchema" xmlns:xs="http://www.w3.org/2001/XMLSchema" xmlns:p="http://schemas.microsoft.com/office/2006/metadata/properties" xmlns:ns2="eb0b6ae9-12c2-45c7-bee8-5c89c9f95acf" targetNamespace="http://schemas.microsoft.com/office/2006/metadata/properties" ma:root="true" ma:fieldsID="48b764023027428e3a34edca110ef3e4" ns2:_="">
    <xsd:import namespace="eb0b6ae9-12c2-45c7-bee8-5c89c9f95acf"/>
    <xsd:element name="properties">
      <xsd:complexType>
        <xsd:sequence>
          <xsd:element name="documentManagement">
            <xsd:complexType>
              <xsd:all>
                <xsd:element ref="ns2:Open_x002f_Closed_x0020_for_x0020_Consultation" minOccurs="0"/>
                <xsd:element ref="ns2:Stage" minOccurs="0"/>
                <xsd:element ref="ns2:MediaServiceMetadata" minOccurs="0"/>
                <xsd:element ref="ns2:MediaServiceFastMetadata" minOccurs="0"/>
                <xsd:element ref="ns2:MediaServiceSearchProperties"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b6ae9-12c2-45c7-bee8-5c89c9f95acf" elementFormDefault="qualified">
    <xsd:import namespace="http://schemas.microsoft.com/office/2006/documentManagement/types"/>
    <xsd:import namespace="http://schemas.microsoft.com/office/infopath/2007/PartnerControls"/>
    <xsd:element name="Open_x002f_Closed_x0020_for_x0020_Consultation" ma:index="8" nillable="true" ma:displayName="Open/Closed for Consultation" ma:format="Dropdown" ma:internalName="Open_x002f_Closed_x0020_for_x0020_Consultation">
      <xsd:simpleType>
        <xsd:restriction base="dms:Choice">
          <xsd:enumeration value="Open"/>
          <xsd:enumeration value="Closed"/>
        </xsd:restriction>
      </xsd:simpleType>
    </xsd:element>
    <xsd:element name="Stage" ma:index="9" nillable="true" ma:displayName="Stage" ma:format="Dropdown" ma:internalName="Stage">
      <xsd:simpleType>
        <xsd:restriction base="dms:Choice">
          <xsd:enumeration value="Approved"/>
          <xsd:enumeration value="Awaiting Feedback"/>
          <xsd:enumeration value="Draft"/>
          <xsd:enumeration value="For Final Approv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Department" ma:index="13" nillable="true" ma:displayName="Department" ma:format="Dropdown" ma:internalName="Depart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2.xml><?xml version="1.0" encoding="utf-8"?>
<ds:datastoreItem xmlns:ds="http://schemas.openxmlformats.org/officeDocument/2006/customXml" ds:itemID="{05058A8E-C506-4E2E-93B3-8BACA3352CB5}">
  <ds:schemaRef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eb0b6ae9-12c2-45c7-bee8-5c89c9f95acf"/>
    <ds:schemaRef ds:uri="http://schemas.microsoft.com/office/2006/metadata/properties"/>
  </ds:schemaRefs>
</ds:datastoreItem>
</file>

<file path=customXml/itemProps3.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4.xml><?xml version="1.0" encoding="utf-8"?>
<ds:datastoreItem xmlns:ds="http://schemas.openxmlformats.org/officeDocument/2006/customXml" ds:itemID="{19BCA488-68FE-41C7-984E-27DB65C3D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b6ae9-12c2-45c7-bee8-5c89c9f95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1722</Words>
  <Characters>9268</Characters>
  <Application>Microsoft Office Word</Application>
  <DocSecurity>0</DocSecurity>
  <Lines>237</Lines>
  <Paragraphs>105</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Hanks, Takara</cp:lastModifiedBy>
  <cp:revision>2</cp:revision>
  <cp:lastPrinted>2017-10-10T09:12:00Z</cp:lastPrinted>
  <dcterms:created xsi:type="dcterms:W3CDTF">2026-02-20T16:38:00Z</dcterms:created>
  <dcterms:modified xsi:type="dcterms:W3CDTF">2026-02-20T16:38:00Z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0x010100C3B8D51D7F97194A9D127D83C6E35B12</vt:lpwstr>
  </property>
  <property fmtid="{D5CDD505-2E9C-101B-9397-08002B2CF9AE}" pid="3" name="MediaServiceImageTags">
    <vt:lpwstr/>
  </property>
</Properties>
</file>