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B5102" w14:textId="39081EF1" w:rsidR="000E2C35" w:rsidRDefault="000E2C35" w:rsidP="006A2DCC"/>
    <w:p w14:paraId="314D1D38" w14:textId="77777777" w:rsidR="00077F4E" w:rsidRDefault="00EB2C8E" w:rsidP="00835F95">
      <w:pPr>
        <w:pStyle w:val="Heading1"/>
      </w:pPr>
      <w:r>
        <w:rPr>
          <w:color w:val="A92530"/>
        </w:rPr>
        <w:br/>
      </w:r>
      <w:r w:rsidRPr="00077F4E">
        <w:rPr>
          <w:noProof/>
        </w:rPr>
        <mc:AlternateContent>
          <mc:Choice Requires="wps">
            <w:drawing>
              <wp:anchor distT="0" distB="0" distL="114300" distR="114300" simplePos="0" relativeHeight="251659264" behindDoc="0" locked="0" layoutInCell="1" allowOverlap="1" wp14:anchorId="6AA4C5AE" wp14:editId="3553B985">
                <wp:simplePos x="0" y="0"/>
                <wp:positionH relativeFrom="column">
                  <wp:posOffset>4104700</wp:posOffset>
                </wp:positionH>
                <wp:positionV relativeFrom="paragraph">
                  <wp:posOffset>48249</wp:posOffset>
                </wp:positionV>
                <wp:extent cx="2967355" cy="1350274"/>
                <wp:effectExtent l="12700" t="12700" r="17145" b="8890"/>
                <wp:wrapNone/>
                <wp:docPr id="11" name="Rectangle 11"/>
                <wp:cNvGraphicFramePr/>
                <a:graphic xmlns:a="http://schemas.openxmlformats.org/drawingml/2006/main">
                  <a:graphicData uri="http://schemas.microsoft.com/office/word/2010/wordprocessingShape">
                    <wps:wsp>
                      <wps:cNvSpPr/>
                      <wps:spPr>
                        <a:xfrm>
                          <a:off x="0" y="0"/>
                          <a:ext cx="2967355" cy="1350274"/>
                        </a:xfrm>
                        <a:prstGeom prst="rect">
                          <a:avLst/>
                        </a:prstGeom>
                        <a:solidFill>
                          <a:srgbClr val="393938"/>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A3905" id="Rectangle 11" o:spid="_x0000_s1026" style="position:absolute;margin-left:323.2pt;margin-top:3.8pt;width:233.65pt;height:10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" fillcolor="#393938" strokecolor="white [3212]" strokeweight="2pt"/>
            </w:pict>
          </mc:Fallback>
        </mc:AlternateContent>
      </w:r>
      <w:r w:rsidRPr="00077F4E">
        <w:rPr>
          <w:noProof/>
        </w:rPr>
        <mc:AlternateContent>
          <mc:Choice Requires="wps">
            <w:drawing>
              <wp:anchor distT="0" distB="0" distL="114300" distR="114300" simplePos="0" relativeHeight="251660288" behindDoc="0" locked="0" layoutInCell="1" allowOverlap="1" wp14:anchorId="28B1C02A" wp14:editId="5D88233F">
                <wp:simplePos x="0" y="0"/>
                <wp:positionH relativeFrom="column">
                  <wp:posOffset>4281170</wp:posOffset>
                </wp:positionH>
                <wp:positionV relativeFrom="paragraph">
                  <wp:posOffset>232674</wp:posOffset>
                </wp:positionV>
                <wp:extent cx="2590165" cy="9747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974785"/>
                        </a:xfrm>
                        <a:prstGeom prst="rect">
                          <a:avLst/>
                        </a:prstGeom>
                        <a:noFill/>
                        <a:ln w="9525">
                          <a:noFill/>
                          <a:miter lim="800000"/>
                          <a:headEnd/>
                          <a:tailEnd/>
                        </a:ln>
                      </wps:spPr>
                      <wps:txbx>
                        <w:txbxContent>
                          <w:p w14:paraId="5FE02206" w14:textId="4C573883" w:rsidR="00282847" w:rsidRDefault="009707F3" w:rsidP="00835F95">
                            <w:pPr>
                              <w:pStyle w:val="Heading2"/>
                            </w:pPr>
                            <w:r>
                              <w:t>Operational Bulletin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8B1C02A" id="_x0000_t202" coordsize="21600,21600" o:spt="202" path="m,l,21600r21600,l21600,xe">
                <v:stroke joinstyle="miter"/>
                <v:path gradientshapeok="t" o:connecttype="rect"/>
              </v:shapetype>
              <v:shape id="Text Box 2" o:spid="_x0000_s1026" type="#_x0000_t202" style="position:absolute;margin-left:337.1pt;margin-top:18.3pt;width:203.95pt;height:76.7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" filled="f" stroked="f">
                <v:textbox>
                  <w:txbxContent>
                    <w:p w14:paraId="5FE02206" w14:textId="4C573883" w:rsidR="00282847" w:rsidRDefault="009707F3" w:rsidP="00835F95">
                      <w:pPr>
                        <w:pStyle w:val="Heading2"/>
                      </w:pPr>
                      <w:r>
                        <w:t>Operational Bulletin</w:t>
                      </w:r>
                    </w:p>
                  </w:txbxContent>
                </v:textbox>
              </v:shape>
            </w:pict>
          </mc:Fallback>
        </mc:AlternateContent>
      </w:r>
      <w:r w:rsidR="00E86D9C" w:rsidRPr="00077F4E">
        <w:rPr>
          <w:noProof/>
        </w:rPr>
        <w:t>L</w:t>
      </w:r>
      <w:r w:rsidR="00077F4E">
        <w:rPr>
          <w:noProof/>
        </w:rPr>
        <w:t>&amp;D Department</w:t>
      </w:r>
      <w:r w:rsidR="00E86D9C" w:rsidRPr="00077F4E">
        <w:rPr>
          <w:noProof/>
        </w:rPr>
        <w:t xml:space="preserve"> - </w:t>
      </w:r>
      <w:r w:rsidR="00723434">
        <w:rPr>
          <w:noProof/>
        </w:rPr>
        <w:br/>
      </w:r>
    </w:p>
    <w:p w14:paraId="09D36562" w14:textId="1B694A1E" w:rsidR="000E2C35" w:rsidRPr="009C6C81" w:rsidRDefault="00B82113" w:rsidP="00835F95">
      <w:pPr>
        <w:pStyle w:val="Heading1"/>
        <w:rPr>
          <w:noProof/>
        </w:rPr>
      </w:pPr>
      <w:r>
        <w:t>Basic Fire Ground Set Up</w:t>
      </w:r>
    </w:p>
    <w:p w14:paraId="0DE52311" w14:textId="61091677" w:rsidR="000E2C35" w:rsidRDefault="000E2C35" w:rsidP="006A2DCC"/>
    <w:p w14:paraId="422A990F" w14:textId="77777777" w:rsidR="00EB2C8E" w:rsidRDefault="00EB2C8E" w:rsidP="00EB2C8E">
      <w:pPr>
        <w:spacing w:line="240" w:lineRule="auto"/>
        <w:rPr>
          <w:color w:val="A92530"/>
        </w:rPr>
      </w:pPr>
    </w:p>
    <w:p w14:paraId="61D9CCB3" w14:textId="19ECC72D" w:rsidR="001E0E1F" w:rsidRPr="00575FA9" w:rsidRDefault="00E86D9C" w:rsidP="00575FA9">
      <w:pPr>
        <w:pStyle w:val="Heading1"/>
        <w:rPr>
          <w:sz w:val="32"/>
          <w:szCs w:val="32"/>
        </w:rPr>
      </w:pPr>
      <w:r w:rsidRPr="00575FA9">
        <w:rPr>
          <w:b w:val="0"/>
          <w:sz w:val="32"/>
          <w:szCs w:val="32"/>
        </w:rPr>
        <w:t>General</w:t>
      </w:r>
      <w:r w:rsidRPr="00575FA9">
        <w:rPr>
          <w:sz w:val="32"/>
          <w:szCs w:val="32"/>
        </w:rPr>
        <w:t xml:space="preserve"> Description</w:t>
      </w:r>
    </w:p>
    <w:p w14:paraId="1335C171" w14:textId="6550A4C3" w:rsidR="002353F8" w:rsidRDefault="002353F8" w:rsidP="00336F2C">
      <w:pPr>
        <w:spacing w:before="120" w:after="120" w:line="240" w:lineRule="auto"/>
        <w:jc w:val="both"/>
        <w:rPr>
          <w:rFonts w:cs="Arial"/>
          <w:bCs/>
          <w:color w:val="393938"/>
        </w:rPr>
      </w:pPr>
      <w:r w:rsidRPr="002353F8">
        <w:rPr>
          <w:rFonts w:cs="Arial"/>
          <w:bCs/>
          <w:color w:val="393938"/>
        </w:rPr>
        <w:t>L&amp;D would like to extend its thanks to all ICL1 commanders who attended the BA Command Course during the 2025–26 training year for their valuable contribution to the development of this fireground setup.</w:t>
      </w:r>
    </w:p>
    <w:p w14:paraId="2C51B26C" w14:textId="77777777" w:rsidR="002353F8" w:rsidRDefault="002353F8" w:rsidP="00336F2C">
      <w:pPr>
        <w:spacing w:before="120" w:after="120" w:line="240" w:lineRule="auto"/>
        <w:jc w:val="both"/>
        <w:rPr>
          <w:rFonts w:cs="Arial"/>
          <w:bCs/>
          <w:color w:val="393938"/>
        </w:rPr>
      </w:pPr>
    </w:p>
    <w:p w14:paraId="6A71CE50" w14:textId="3D8F7DBB" w:rsidR="00336F2C" w:rsidRDefault="00336F2C" w:rsidP="00336F2C">
      <w:pPr>
        <w:spacing w:before="120" w:after="120" w:line="240" w:lineRule="auto"/>
        <w:jc w:val="both"/>
        <w:rPr>
          <w:rFonts w:cs="Arial"/>
          <w:bCs/>
          <w:color w:val="393938"/>
        </w:rPr>
      </w:pPr>
      <w:r w:rsidRPr="00336F2C">
        <w:rPr>
          <w:rFonts w:cs="Arial"/>
          <w:bCs/>
          <w:color w:val="393938"/>
        </w:rPr>
        <w:t>The ‘</w:t>
      </w:r>
      <w:r w:rsidR="0051630F">
        <w:rPr>
          <w:rFonts w:cs="Arial"/>
          <w:bCs/>
          <w:color w:val="393938"/>
        </w:rPr>
        <w:t>initial</w:t>
      </w:r>
      <w:r w:rsidRPr="00336F2C">
        <w:rPr>
          <w:rFonts w:cs="Arial"/>
          <w:bCs/>
          <w:color w:val="393938"/>
        </w:rPr>
        <w:t>’ fireground setup refers to the structured organisation and deployment of equipment in accordance with the tactical objectives set by the Incident Commander at fires within the built environment.</w:t>
      </w:r>
    </w:p>
    <w:p w14:paraId="3C78C0F4" w14:textId="77777777" w:rsidR="008548F3" w:rsidRPr="00336F2C" w:rsidRDefault="008548F3" w:rsidP="00336F2C">
      <w:pPr>
        <w:spacing w:before="120" w:after="120" w:line="240" w:lineRule="auto"/>
        <w:jc w:val="both"/>
        <w:rPr>
          <w:rFonts w:cs="Arial"/>
          <w:bCs/>
          <w:color w:val="393938"/>
        </w:rPr>
      </w:pPr>
    </w:p>
    <w:p w14:paraId="2B04B479" w14:textId="77777777" w:rsidR="00336F2C" w:rsidRDefault="00336F2C" w:rsidP="00336F2C">
      <w:pPr>
        <w:spacing w:before="120" w:after="120" w:line="240" w:lineRule="auto"/>
        <w:jc w:val="both"/>
        <w:rPr>
          <w:rFonts w:cs="Arial"/>
          <w:bCs/>
          <w:color w:val="393938"/>
        </w:rPr>
      </w:pPr>
      <w:r w:rsidRPr="00336F2C">
        <w:rPr>
          <w:rFonts w:cs="Arial"/>
          <w:bCs/>
          <w:color w:val="393938"/>
        </w:rPr>
        <w:t>This setup is fundamental in supporting a safe, controlled, and coordinated firefighting response. It ensures that both internal and external firefighting activities can be carried out effectively, with the necessary resources in place to protect crews, maintain operational flow, and achieve the incident objectives.</w:t>
      </w:r>
    </w:p>
    <w:p w14:paraId="2FBA00C0" w14:textId="77777777" w:rsidR="008548F3" w:rsidRPr="00336F2C" w:rsidRDefault="008548F3" w:rsidP="00336F2C">
      <w:pPr>
        <w:spacing w:before="120" w:after="120" w:line="240" w:lineRule="auto"/>
        <w:jc w:val="both"/>
        <w:rPr>
          <w:rFonts w:cs="Arial"/>
          <w:bCs/>
          <w:color w:val="393938"/>
        </w:rPr>
      </w:pPr>
    </w:p>
    <w:p w14:paraId="63703921" w14:textId="57BFAFE3" w:rsidR="008548F3" w:rsidRDefault="008548F3" w:rsidP="008548F3">
      <w:pPr>
        <w:spacing w:before="120" w:after="120" w:line="240" w:lineRule="auto"/>
        <w:jc w:val="both"/>
        <w:rPr>
          <w:rFonts w:cs="Arial"/>
          <w:bCs/>
          <w:color w:val="393938"/>
        </w:rPr>
      </w:pPr>
      <w:r w:rsidRPr="008548F3">
        <w:rPr>
          <w:rFonts w:cs="Arial"/>
          <w:bCs/>
          <w:color w:val="393938"/>
        </w:rPr>
        <w:t xml:space="preserve">It is important to note that the </w:t>
      </w:r>
      <w:r w:rsidR="0051630F">
        <w:rPr>
          <w:rFonts w:cs="Arial"/>
          <w:bCs/>
          <w:color w:val="393938"/>
        </w:rPr>
        <w:t>initial</w:t>
      </w:r>
      <w:r w:rsidRPr="008548F3">
        <w:rPr>
          <w:rFonts w:cs="Arial"/>
          <w:bCs/>
          <w:color w:val="393938"/>
        </w:rPr>
        <w:t xml:space="preserve"> fireground setup can be developed and expanded by the Incident Commander as additional resources arrive on scene. However, the initial configuration is designed to be simple, structured, and achievable by a minimum crew of four prior to committing into the premises under rapid deployment conditions, or by a crew of three in advance of further resources arriving, enabling safe and effective initial interior commitment.</w:t>
      </w:r>
    </w:p>
    <w:p w14:paraId="160E1D49" w14:textId="77777777" w:rsidR="002353F8" w:rsidRDefault="002353F8" w:rsidP="008548F3">
      <w:pPr>
        <w:spacing w:before="120" w:after="120" w:line="240" w:lineRule="auto"/>
        <w:jc w:val="both"/>
        <w:rPr>
          <w:rFonts w:cs="Arial"/>
          <w:bCs/>
          <w:color w:val="393938"/>
        </w:rPr>
      </w:pPr>
    </w:p>
    <w:p w14:paraId="6AE5778D" w14:textId="264C1C1A" w:rsidR="00575FA9" w:rsidRDefault="00575FA9" w:rsidP="00575FA9">
      <w:pPr>
        <w:spacing w:before="120" w:after="120" w:line="240" w:lineRule="auto"/>
        <w:jc w:val="both"/>
        <w:rPr>
          <w:rFonts w:cs="Arial"/>
          <w:bCs/>
          <w:color w:val="393938"/>
        </w:rPr>
      </w:pPr>
      <w:r w:rsidRPr="00575FA9">
        <w:rPr>
          <w:rFonts w:cs="Arial"/>
          <w:bCs/>
          <w:color w:val="393938"/>
        </w:rPr>
        <w:t xml:space="preserve">The </w:t>
      </w:r>
      <w:r w:rsidR="0051630F">
        <w:rPr>
          <w:rFonts w:cs="Arial"/>
          <w:bCs/>
          <w:color w:val="393938"/>
        </w:rPr>
        <w:t>initial</w:t>
      </w:r>
      <w:r w:rsidRPr="00575FA9">
        <w:rPr>
          <w:rFonts w:cs="Arial"/>
          <w:bCs/>
          <w:color w:val="393938"/>
        </w:rPr>
        <w:t xml:space="preserve"> fireground setups will be incorporated into the forthcoming Firefighting Tactics Foundation Document upon publication.</w:t>
      </w:r>
    </w:p>
    <w:p w14:paraId="272C9E25" w14:textId="77777777" w:rsidR="00435100" w:rsidRDefault="00435100" w:rsidP="00575FA9">
      <w:pPr>
        <w:spacing w:before="120" w:after="120" w:line="240" w:lineRule="auto"/>
        <w:jc w:val="both"/>
        <w:rPr>
          <w:rFonts w:cs="Arial"/>
          <w:bCs/>
          <w:color w:val="393938"/>
        </w:rPr>
      </w:pPr>
    </w:p>
    <w:p w14:paraId="1FFCEFF5" w14:textId="77777777" w:rsidR="00435100" w:rsidRDefault="00435100" w:rsidP="00435100">
      <w:pPr>
        <w:spacing w:before="120" w:after="120" w:line="240" w:lineRule="auto"/>
        <w:jc w:val="both"/>
        <w:rPr>
          <w:rFonts w:cs="Arial"/>
          <w:b/>
          <w:color w:val="393938"/>
        </w:rPr>
      </w:pPr>
      <w:r>
        <w:rPr>
          <w:rFonts w:cs="Arial"/>
          <w:b/>
          <w:color w:val="393938"/>
        </w:rPr>
        <w:t>Any questions, please contact Station Manager Tom Harding (L&amp;D Department).</w:t>
      </w:r>
    </w:p>
    <w:p w14:paraId="458E54A2" w14:textId="77777777" w:rsidR="00435100" w:rsidRPr="00F93DEF" w:rsidRDefault="00435100" w:rsidP="00435100">
      <w:pPr>
        <w:spacing w:before="120" w:after="120" w:line="240" w:lineRule="auto"/>
        <w:jc w:val="both"/>
        <w:rPr>
          <w:rStyle w:val="Hyperlink"/>
          <w:rFonts w:cs="Arial"/>
          <w:color w:val="393938"/>
          <w:u w:val="none"/>
        </w:rPr>
      </w:pPr>
      <w:hyperlink r:id="rId11" w:history="1">
        <w:r w:rsidRPr="00F5231E">
          <w:rPr>
            <w:rStyle w:val="Hyperlink"/>
            <w:rFonts w:cs="Arial"/>
          </w:rPr>
          <w:t>FireService.LD@cumbriafire.gov.uk</w:t>
        </w:r>
      </w:hyperlink>
    </w:p>
    <w:p w14:paraId="348C0A9B" w14:textId="77777777" w:rsidR="008548F3" w:rsidRDefault="008548F3" w:rsidP="008548F3"/>
    <w:p w14:paraId="264A7682" w14:textId="23783327" w:rsidR="008548F3" w:rsidRPr="007B5CFF" w:rsidRDefault="002353F8" w:rsidP="007B5CFF">
      <w:pPr>
        <w:pStyle w:val="Heading1"/>
        <w:rPr>
          <w:sz w:val="32"/>
          <w:szCs w:val="32"/>
        </w:rPr>
      </w:pPr>
      <w:r w:rsidRPr="00575FA9">
        <w:rPr>
          <w:b w:val="0"/>
          <w:sz w:val="32"/>
          <w:szCs w:val="32"/>
        </w:rPr>
        <w:lastRenderedPageBreak/>
        <w:t>Fire Ground Set Up – Hose Reel selected as Fire Attack</w:t>
      </w:r>
    </w:p>
    <w:p w14:paraId="559F293E" w14:textId="16BA3A5F" w:rsidR="008548F3" w:rsidRDefault="002353F8" w:rsidP="008548F3">
      <w:r>
        <w:rPr>
          <w:noProof/>
        </w:rPr>
        <w:drawing>
          <wp:inline distT="0" distB="0" distL="0" distR="0" wp14:anchorId="47493CB0" wp14:editId="3DBE61D5">
            <wp:extent cx="6480000" cy="3636000"/>
            <wp:effectExtent l="38100" t="38100" r="35560" b="41275"/>
            <wp:docPr id="47715866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000" cy="3636000"/>
                    </a:xfrm>
                    <a:prstGeom prst="rect">
                      <a:avLst/>
                    </a:prstGeom>
                    <a:noFill/>
                    <a:ln w="38100">
                      <a:solidFill>
                        <a:schemeClr val="tx1"/>
                      </a:solidFill>
                    </a:ln>
                  </pic:spPr>
                </pic:pic>
              </a:graphicData>
            </a:graphic>
          </wp:inline>
        </w:drawing>
      </w:r>
    </w:p>
    <w:p w14:paraId="54C2162F" w14:textId="5A9C7697" w:rsidR="002353F8" w:rsidRDefault="002353F8" w:rsidP="008548F3">
      <w:r>
        <w:t>(Fig.1 – Aerial view of fire ground set up with hose reel selected as fire attack)</w:t>
      </w:r>
    </w:p>
    <w:p w14:paraId="29D6CF29" w14:textId="77777777" w:rsidR="002353F8" w:rsidRDefault="002353F8" w:rsidP="008548F3"/>
    <w:p w14:paraId="6DCCCE72" w14:textId="52B5CE64" w:rsidR="002353F8" w:rsidRDefault="002353F8" w:rsidP="002353F8">
      <w:pPr>
        <w:jc w:val="center"/>
      </w:pPr>
      <w:r>
        <w:rPr>
          <w:noProof/>
        </w:rPr>
        <w:drawing>
          <wp:inline distT="0" distB="0" distL="0" distR="0" wp14:anchorId="5AF303D0" wp14:editId="2928ABF1">
            <wp:extent cx="2880000" cy="3780000"/>
            <wp:effectExtent l="38100" t="38100" r="34925" b="30480"/>
            <wp:docPr id="210009243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3780000"/>
                    </a:xfrm>
                    <a:prstGeom prst="rect">
                      <a:avLst/>
                    </a:prstGeom>
                    <a:noFill/>
                    <a:ln w="38100">
                      <a:solidFill>
                        <a:schemeClr val="tx1"/>
                      </a:solidFill>
                    </a:ln>
                  </pic:spPr>
                </pic:pic>
              </a:graphicData>
            </a:graphic>
          </wp:inline>
        </w:drawing>
      </w:r>
    </w:p>
    <w:p w14:paraId="04D52399" w14:textId="164DCF07" w:rsidR="002353F8" w:rsidRDefault="002353F8" w:rsidP="008548F3">
      <w:r>
        <w:t xml:space="preserve">(Fig.2 – </w:t>
      </w:r>
      <w:r w:rsidR="00575FA9">
        <w:t>Appliance Bay</w:t>
      </w:r>
      <w:r>
        <w:t xml:space="preserve"> view of fire ground set up with hose reel selected as fire attack)</w:t>
      </w:r>
    </w:p>
    <w:p w14:paraId="065D8EDF" w14:textId="77777777" w:rsidR="002353F8" w:rsidRDefault="002353F8" w:rsidP="008548F3"/>
    <w:p w14:paraId="6D22321E" w14:textId="77777777" w:rsidR="002353F8" w:rsidRDefault="002353F8" w:rsidP="008548F3"/>
    <w:p w14:paraId="1F81C18C" w14:textId="20327F21" w:rsidR="002353F8" w:rsidRDefault="002353F8" w:rsidP="008548F3">
      <w:r>
        <w:rPr>
          <w:noProof/>
        </w:rPr>
        <w:drawing>
          <wp:inline distT="0" distB="0" distL="0" distR="0" wp14:anchorId="158468DA" wp14:editId="5EC4C4CA">
            <wp:extent cx="6480000" cy="3636000"/>
            <wp:effectExtent l="38100" t="38100" r="35560" b="41275"/>
            <wp:docPr id="29110993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000" cy="3636000"/>
                    </a:xfrm>
                    <a:prstGeom prst="rect">
                      <a:avLst/>
                    </a:prstGeom>
                    <a:noFill/>
                    <a:ln w="38100">
                      <a:solidFill>
                        <a:schemeClr val="tx1"/>
                      </a:solidFill>
                    </a:ln>
                  </pic:spPr>
                </pic:pic>
              </a:graphicData>
            </a:graphic>
          </wp:inline>
        </w:drawing>
      </w:r>
    </w:p>
    <w:p w14:paraId="1163C59D" w14:textId="422688F0" w:rsidR="002353F8" w:rsidRDefault="002353F8" w:rsidP="008548F3">
      <w:r>
        <w:t>(Fig.3 – Close up of fire ground set up with hose reel selected as fire attack)</w:t>
      </w:r>
    </w:p>
    <w:p w14:paraId="214D820B" w14:textId="77777777" w:rsidR="002353F8" w:rsidRDefault="002353F8" w:rsidP="008548F3"/>
    <w:p w14:paraId="05B95182" w14:textId="48871860" w:rsidR="00575FA9" w:rsidRPr="00575FA9" w:rsidRDefault="00575FA9" w:rsidP="00575FA9">
      <w:pPr>
        <w:pStyle w:val="Heading3"/>
        <w:rPr>
          <w:szCs w:val="28"/>
        </w:rPr>
      </w:pPr>
      <w:r>
        <w:rPr>
          <w:b w:val="0"/>
          <w:szCs w:val="28"/>
        </w:rPr>
        <w:t>Operating principles</w:t>
      </w:r>
    </w:p>
    <w:p w14:paraId="78336C83" w14:textId="77777777" w:rsidR="00575FA9" w:rsidRPr="00435100" w:rsidRDefault="00575FA9" w:rsidP="00864DEC">
      <w:pPr>
        <w:pStyle w:val="ListParagraph"/>
        <w:numPr>
          <w:ilvl w:val="0"/>
          <w:numId w:val="36"/>
        </w:numPr>
        <w:jc w:val="both"/>
        <w:rPr>
          <w:sz w:val="20"/>
          <w:szCs w:val="20"/>
        </w:rPr>
      </w:pPr>
      <w:r w:rsidRPr="00435100">
        <w:rPr>
          <w:sz w:val="20"/>
          <w:szCs w:val="20"/>
        </w:rPr>
        <w:t xml:space="preserve">The hose reel should be deployed from the nearest side of the appliance to the building entry point. The hose reel </w:t>
      </w:r>
      <w:r w:rsidRPr="00435100">
        <w:rPr>
          <w:b/>
          <w:bCs/>
          <w:sz w:val="20"/>
          <w:szCs w:val="20"/>
        </w:rPr>
        <w:t>must be fully run off the drum</w:t>
      </w:r>
      <w:r w:rsidRPr="00435100">
        <w:rPr>
          <w:sz w:val="20"/>
          <w:szCs w:val="20"/>
        </w:rPr>
        <w:t xml:space="preserve"> to minimise frictional losses and ensure effective water delivery.</w:t>
      </w:r>
    </w:p>
    <w:p w14:paraId="67F9C7EF" w14:textId="6E2BB36A" w:rsidR="00575FA9" w:rsidRPr="00435100" w:rsidRDefault="00575FA9" w:rsidP="00864DEC">
      <w:pPr>
        <w:pStyle w:val="ListParagraph"/>
        <w:numPr>
          <w:ilvl w:val="0"/>
          <w:numId w:val="36"/>
        </w:numPr>
        <w:jc w:val="both"/>
        <w:rPr>
          <w:sz w:val="20"/>
          <w:szCs w:val="20"/>
        </w:rPr>
      </w:pPr>
      <w:r w:rsidRPr="00435100">
        <w:rPr>
          <w:sz w:val="20"/>
          <w:szCs w:val="20"/>
        </w:rPr>
        <w:t xml:space="preserve">To achieve a maximum flow of </w:t>
      </w:r>
      <w:r w:rsidRPr="00435100">
        <w:rPr>
          <w:b/>
          <w:bCs/>
          <w:sz w:val="20"/>
          <w:szCs w:val="20"/>
        </w:rPr>
        <w:t>150LPM</w:t>
      </w:r>
      <w:r w:rsidRPr="00435100">
        <w:rPr>
          <w:sz w:val="20"/>
          <w:szCs w:val="20"/>
        </w:rPr>
        <w:t xml:space="preserve"> from a 19mm hose reel, the appliance pressure should be set to </w:t>
      </w:r>
      <w:r w:rsidRPr="00435100">
        <w:rPr>
          <w:b/>
          <w:bCs/>
          <w:sz w:val="20"/>
          <w:szCs w:val="20"/>
          <w:u w:val="single"/>
        </w:rPr>
        <w:t>25bar</w:t>
      </w:r>
      <w:r w:rsidRPr="00435100">
        <w:rPr>
          <w:sz w:val="20"/>
          <w:szCs w:val="20"/>
        </w:rPr>
        <w:t>.</w:t>
      </w:r>
    </w:p>
    <w:p w14:paraId="0E49E136" w14:textId="5AC73864" w:rsidR="00575FA9" w:rsidRPr="00435100" w:rsidRDefault="00575FA9" w:rsidP="00864DEC">
      <w:pPr>
        <w:pStyle w:val="ListParagraph"/>
        <w:numPr>
          <w:ilvl w:val="0"/>
          <w:numId w:val="36"/>
        </w:numPr>
        <w:jc w:val="both"/>
        <w:rPr>
          <w:sz w:val="20"/>
          <w:szCs w:val="20"/>
        </w:rPr>
      </w:pPr>
      <w:r w:rsidRPr="00435100">
        <w:rPr>
          <w:sz w:val="20"/>
          <w:szCs w:val="20"/>
        </w:rPr>
        <w:t xml:space="preserve">To achieve a maximum flow of </w:t>
      </w:r>
      <w:r w:rsidRPr="00435100">
        <w:rPr>
          <w:b/>
          <w:bCs/>
          <w:sz w:val="20"/>
          <w:szCs w:val="20"/>
        </w:rPr>
        <w:t>230LPM</w:t>
      </w:r>
      <w:r w:rsidRPr="00435100">
        <w:rPr>
          <w:sz w:val="20"/>
          <w:szCs w:val="20"/>
        </w:rPr>
        <w:t xml:space="preserve"> from a 22mm hose reel, the appliance pressure should be set to </w:t>
      </w:r>
      <w:r w:rsidR="00A13B17" w:rsidRPr="00435100">
        <w:rPr>
          <w:b/>
          <w:bCs/>
          <w:sz w:val="20"/>
          <w:szCs w:val="20"/>
          <w:u w:val="single"/>
        </w:rPr>
        <w:t>40bar</w:t>
      </w:r>
      <w:r w:rsidR="00A13B17" w:rsidRPr="00435100">
        <w:rPr>
          <w:sz w:val="20"/>
          <w:szCs w:val="20"/>
        </w:rPr>
        <w:t>.</w:t>
      </w:r>
    </w:p>
    <w:p w14:paraId="58983134" w14:textId="123489DC" w:rsidR="00366E6E" w:rsidRPr="00435100" w:rsidRDefault="00366E6E" w:rsidP="00864DEC">
      <w:pPr>
        <w:pStyle w:val="ListParagraph"/>
        <w:numPr>
          <w:ilvl w:val="0"/>
          <w:numId w:val="36"/>
        </w:numPr>
        <w:jc w:val="both"/>
        <w:rPr>
          <w:sz w:val="20"/>
          <w:szCs w:val="20"/>
        </w:rPr>
      </w:pPr>
      <w:r w:rsidRPr="00435100">
        <w:rPr>
          <w:sz w:val="20"/>
          <w:szCs w:val="20"/>
        </w:rPr>
        <w:t xml:space="preserve">1x Dutch rolled 64mm hose (add additional 64mm lengths dependant on proximity of pump from entry point) from delivery no.2 (see Fig.2) into a dividing </w:t>
      </w:r>
      <w:r w:rsidR="0051630F">
        <w:rPr>
          <w:sz w:val="20"/>
          <w:szCs w:val="20"/>
        </w:rPr>
        <w:t>breeching</w:t>
      </w:r>
      <w:r w:rsidRPr="00435100">
        <w:rPr>
          <w:sz w:val="20"/>
          <w:szCs w:val="20"/>
        </w:rPr>
        <w:t xml:space="preserve"> to be positioned close to the entry point (see Fig.3).</w:t>
      </w:r>
    </w:p>
    <w:p w14:paraId="6B0824E9" w14:textId="3FFE2930" w:rsidR="001A1A49" w:rsidRPr="00435100" w:rsidRDefault="001A1A49" w:rsidP="00864DEC">
      <w:pPr>
        <w:pStyle w:val="ListParagraph"/>
        <w:numPr>
          <w:ilvl w:val="0"/>
          <w:numId w:val="36"/>
        </w:numPr>
        <w:jc w:val="both"/>
        <w:rPr>
          <w:sz w:val="20"/>
          <w:szCs w:val="20"/>
        </w:rPr>
      </w:pPr>
      <w:r w:rsidRPr="00435100">
        <w:rPr>
          <w:sz w:val="20"/>
          <w:szCs w:val="20"/>
        </w:rPr>
        <w:t>Delivery no.2 on each appliance from which interior firefighting is in operation, should be reserved for the ‘safety’ and ‘covering’ jet set up.</w:t>
      </w:r>
    </w:p>
    <w:p w14:paraId="73553018" w14:textId="0E8ADE72" w:rsidR="00366E6E" w:rsidRPr="00435100" w:rsidRDefault="00366E6E" w:rsidP="00864DEC">
      <w:pPr>
        <w:pStyle w:val="ListParagraph"/>
        <w:numPr>
          <w:ilvl w:val="0"/>
          <w:numId w:val="36"/>
        </w:numPr>
        <w:jc w:val="both"/>
        <w:rPr>
          <w:sz w:val="20"/>
          <w:szCs w:val="20"/>
        </w:rPr>
      </w:pPr>
      <w:r w:rsidRPr="00435100">
        <w:rPr>
          <w:sz w:val="20"/>
          <w:szCs w:val="20"/>
        </w:rPr>
        <w:t xml:space="preserve">Maximum 2x 38mm and/or 45mm hose (Cleveland load) from the right-hand outlet (think ‘Right Reserve’) of the dividing </w:t>
      </w:r>
      <w:r w:rsidR="0051630F">
        <w:rPr>
          <w:sz w:val="20"/>
          <w:szCs w:val="20"/>
        </w:rPr>
        <w:t>breeching</w:t>
      </w:r>
      <w:r w:rsidRPr="00435100">
        <w:rPr>
          <w:sz w:val="20"/>
          <w:szCs w:val="20"/>
        </w:rPr>
        <w:t xml:space="preserve"> terminating in a compartment branch to be charged as the ‘safety jet’.  If additional distance is required into a structure, use 64mm prior to connecting 38/45mm hose.</w:t>
      </w:r>
    </w:p>
    <w:p w14:paraId="4644D9EC" w14:textId="215F0AEB" w:rsidR="00366E6E" w:rsidRPr="00435100" w:rsidRDefault="00366E6E" w:rsidP="00864DEC">
      <w:pPr>
        <w:pStyle w:val="ListParagraph"/>
        <w:numPr>
          <w:ilvl w:val="0"/>
          <w:numId w:val="36"/>
        </w:numPr>
        <w:jc w:val="both"/>
        <w:rPr>
          <w:sz w:val="20"/>
          <w:szCs w:val="20"/>
        </w:rPr>
      </w:pPr>
      <w:r w:rsidRPr="00435100">
        <w:rPr>
          <w:sz w:val="20"/>
          <w:szCs w:val="20"/>
        </w:rPr>
        <w:t>The safety jet can be utilised as the covering jet at the front face of the property if required.</w:t>
      </w:r>
    </w:p>
    <w:p w14:paraId="4FF7B181" w14:textId="77777777" w:rsidR="00864DEC" w:rsidRDefault="00366E6E" w:rsidP="00864DEC">
      <w:pPr>
        <w:pStyle w:val="ListParagraph"/>
        <w:numPr>
          <w:ilvl w:val="0"/>
          <w:numId w:val="36"/>
        </w:numPr>
        <w:jc w:val="both"/>
        <w:rPr>
          <w:sz w:val="20"/>
          <w:szCs w:val="20"/>
        </w:rPr>
      </w:pPr>
      <w:r w:rsidRPr="00435100">
        <w:rPr>
          <w:sz w:val="20"/>
          <w:szCs w:val="20"/>
        </w:rPr>
        <w:t xml:space="preserve">2x 38 and/or 45mm and/or 64mm (Dutch 64 or cleveland 38/45) terminating in a main branch from the left-hand outlet of the dividing </w:t>
      </w:r>
      <w:r w:rsidR="0051630F">
        <w:rPr>
          <w:sz w:val="20"/>
          <w:szCs w:val="20"/>
        </w:rPr>
        <w:t>breeching</w:t>
      </w:r>
      <w:r w:rsidRPr="00435100">
        <w:rPr>
          <w:sz w:val="20"/>
          <w:szCs w:val="20"/>
        </w:rPr>
        <w:t xml:space="preserve"> to be used as a ‘covering jet’.  This can be left uncharged until it is confirmed what sector it is required.</w:t>
      </w:r>
    </w:p>
    <w:p w14:paraId="248AD269" w14:textId="272EF848" w:rsidR="00182BFC" w:rsidRPr="00864DEC" w:rsidRDefault="00182BFC" w:rsidP="00864DEC">
      <w:pPr>
        <w:pStyle w:val="ListParagraph"/>
        <w:numPr>
          <w:ilvl w:val="0"/>
          <w:numId w:val="36"/>
        </w:numPr>
        <w:jc w:val="both"/>
        <w:rPr>
          <w:sz w:val="20"/>
          <w:szCs w:val="20"/>
        </w:rPr>
      </w:pPr>
      <w:r w:rsidRPr="00864DEC">
        <w:rPr>
          <w:sz w:val="20"/>
          <w:szCs w:val="20"/>
        </w:rPr>
        <w:t>It is good practice to ensure that high-pressure and low-pressure supplies for interior firefighting operations are provided from separate appliances. Therefore, as soon as practicable, any ‘safety’ or ‘covering’ jets should be transferred from the appliance supplying the hose reel to a secondary appliance on the incident ground. This transfer can be implemented immediately if two pumps are in attendance on arrival, or at the earliest opportunity following the arrival of the second appliance.</w:t>
      </w:r>
    </w:p>
    <w:p w14:paraId="7BB9C6CC" w14:textId="77777777" w:rsidR="007B5CFF" w:rsidRDefault="007B5CFF" w:rsidP="008548F3"/>
    <w:p w14:paraId="3A407090" w14:textId="401AB29B" w:rsidR="002611B2" w:rsidRPr="00575FA9" w:rsidRDefault="002611B2" w:rsidP="002611B2">
      <w:pPr>
        <w:pStyle w:val="Heading1"/>
        <w:rPr>
          <w:sz w:val="32"/>
          <w:szCs w:val="32"/>
        </w:rPr>
      </w:pPr>
      <w:r w:rsidRPr="00575FA9">
        <w:rPr>
          <w:b w:val="0"/>
          <w:sz w:val="32"/>
          <w:szCs w:val="32"/>
        </w:rPr>
        <w:lastRenderedPageBreak/>
        <w:t xml:space="preserve">Fire Ground Set Up – </w:t>
      </w:r>
      <w:r>
        <w:rPr>
          <w:b w:val="0"/>
          <w:sz w:val="32"/>
          <w:szCs w:val="32"/>
        </w:rPr>
        <w:t>Lay flat 38/45mm</w:t>
      </w:r>
      <w:r w:rsidRPr="00575FA9">
        <w:rPr>
          <w:b w:val="0"/>
          <w:sz w:val="32"/>
          <w:szCs w:val="32"/>
        </w:rPr>
        <w:t xml:space="preserve"> selected as Fire Attack</w:t>
      </w:r>
    </w:p>
    <w:p w14:paraId="6CAE45BB" w14:textId="0140900F" w:rsidR="002353F8" w:rsidRDefault="007B5CFF" w:rsidP="008548F3">
      <w:r>
        <w:rPr>
          <w:noProof/>
        </w:rPr>
        <w:drawing>
          <wp:inline distT="0" distB="0" distL="0" distR="0" wp14:anchorId="4F71955E" wp14:editId="1F38BD59">
            <wp:extent cx="6480000" cy="3636000"/>
            <wp:effectExtent l="38100" t="38100" r="35560" b="41275"/>
            <wp:docPr id="87644153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0" cy="3636000"/>
                    </a:xfrm>
                    <a:prstGeom prst="rect">
                      <a:avLst/>
                    </a:prstGeom>
                    <a:noFill/>
                    <a:ln w="38100">
                      <a:solidFill>
                        <a:schemeClr val="tx1"/>
                      </a:solidFill>
                    </a:ln>
                  </pic:spPr>
                </pic:pic>
              </a:graphicData>
            </a:graphic>
          </wp:inline>
        </w:drawing>
      </w:r>
    </w:p>
    <w:p w14:paraId="4B3D45A2" w14:textId="38C7D0A3" w:rsidR="002353F8" w:rsidRDefault="007B5CFF" w:rsidP="008548F3">
      <w:r>
        <w:t>(Fig.4 - Aerial view of fire ground set up with lay flat 38/45mm selected as fire attack)</w:t>
      </w:r>
    </w:p>
    <w:p w14:paraId="44E6449D" w14:textId="77777777" w:rsidR="007B5CFF" w:rsidRDefault="007B5CFF" w:rsidP="008548F3"/>
    <w:p w14:paraId="42E93690" w14:textId="0654EEAD" w:rsidR="002353F8" w:rsidRDefault="007B5CFF" w:rsidP="007B5CFF">
      <w:pPr>
        <w:jc w:val="center"/>
      </w:pPr>
      <w:r>
        <w:rPr>
          <w:noProof/>
        </w:rPr>
        <w:drawing>
          <wp:inline distT="0" distB="0" distL="0" distR="0" wp14:anchorId="2DA330A4" wp14:editId="4803119F">
            <wp:extent cx="2880000" cy="3780000"/>
            <wp:effectExtent l="38100" t="38100" r="34925" b="30480"/>
            <wp:docPr id="81541400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3780000"/>
                    </a:xfrm>
                    <a:prstGeom prst="rect">
                      <a:avLst/>
                    </a:prstGeom>
                    <a:noFill/>
                    <a:ln w="38100">
                      <a:solidFill>
                        <a:schemeClr val="tx1"/>
                      </a:solidFill>
                    </a:ln>
                  </pic:spPr>
                </pic:pic>
              </a:graphicData>
            </a:graphic>
          </wp:inline>
        </w:drawing>
      </w:r>
    </w:p>
    <w:p w14:paraId="215FA11A" w14:textId="18F7F23A" w:rsidR="007B5CFF" w:rsidRDefault="007B5CFF" w:rsidP="007B5CFF">
      <w:r>
        <w:t>(Fig.5 – Appliance Bay view of fire ground set up with lay flat 38/45mm selected as fire attack)</w:t>
      </w:r>
    </w:p>
    <w:p w14:paraId="1091E07C" w14:textId="5F857B9E" w:rsidR="002353F8" w:rsidRDefault="007B5CFF" w:rsidP="008548F3">
      <w:r>
        <w:rPr>
          <w:noProof/>
        </w:rPr>
        <w:lastRenderedPageBreak/>
        <w:drawing>
          <wp:inline distT="0" distB="0" distL="0" distR="0" wp14:anchorId="2D53F6A4" wp14:editId="18F58D41">
            <wp:extent cx="6480000" cy="3636000"/>
            <wp:effectExtent l="38100" t="38100" r="35560" b="41275"/>
            <wp:docPr id="95824239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000" cy="3636000"/>
                    </a:xfrm>
                    <a:prstGeom prst="rect">
                      <a:avLst/>
                    </a:prstGeom>
                    <a:noFill/>
                    <a:ln w="38100">
                      <a:solidFill>
                        <a:schemeClr val="tx1"/>
                      </a:solidFill>
                    </a:ln>
                  </pic:spPr>
                </pic:pic>
              </a:graphicData>
            </a:graphic>
          </wp:inline>
        </w:drawing>
      </w:r>
    </w:p>
    <w:p w14:paraId="786761DC" w14:textId="5371843E" w:rsidR="007B5CFF" w:rsidRDefault="007B5CFF" w:rsidP="007B5CFF">
      <w:r>
        <w:t>(Fig.6 – Close up of fire ground set up with lay flat 38/45mm selected as fire attack)</w:t>
      </w:r>
    </w:p>
    <w:p w14:paraId="6FC36697" w14:textId="77777777" w:rsidR="002353F8" w:rsidRDefault="002353F8" w:rsidP="008548F3"/>
    <w:p w14:paraId="782494D3" w14:textId="77777777" w:rsidR="007B5CFF" w:rsidRPr="00575FA9" w:rsidRDefault="007B5CFF" w:rsidP="007B5CFF">
      <w:pPr>
        <w:pStyle w:val="Heading3"/>
        <w:rPr>
          <w:szCs w:val="28"/>
        </w:rPr>
      </w:pPr>
      <w:r>
        <w:rPr>
          <w:b w:val="0"/>
          <w:szCs w:val="28"/>
        </w:rPr>
        <w:t>Operating principles</w:t>
      </w:r>
    </w:p>
    <w:p w14:paraId="0F4B5931" w14:textId="7C017CFD" w:rsidR="007B5CFF" w:rsidRPr="00435100" w:rsidRDefault="007B5CFF" w:rsidP="007B5CFF">
      <w:pPr>
        <w:pStyle w:val="ListParagraph"/>
        <w:numPr>
          <w:ilvl w:val="0"/>
          <w:numId w:val="36"/>
        </w:numPr>
        <w:rPr>
          <w:sz w:val="20"/>
          <w:szCs w:val="20"/>
        </w:rPr>
      </w:pPr>
      <w:r w:rsidRPr="00435100">
        <w:rPr>
          <w:sz w:val="20"/>
          <w:szCs w:val="20"/>
        </w:rPr>
        <w:t>1x Dutch rolled 64mm hose (add additional 64mm lengths dependant on proximity of pump from entry point) from delivery no.1 (see Fig.5) into maximum 2x 38/45mm hose</w:t>
      </w:r>
      <w:r w:rsidR="00435100" w:rsidRPr="00435100">
        <w:rPr>
          <w:sz w:val="20"/>
          <w:szCs w:val="20"/>
        </w:rPr>
        <w:t xml:space="preserve"> (Cleveland load)</w:t>
      </w:r>
      <w:r w:rsidRPr="00435100">
        <w:rPr>
          <w:sz w:val="20"/>
          <w:szCs w:val="20"/>
        </w:rPr>
        <w:t xml:space="preserve"> terminating in a compartment branch positioned close to the entry point (see Fig.6).</w:t>
      </w:r>
    </w:p>
    <w:p w14:paraId="66A05F7F" w14:textId="54E03B3C" w:rsidR="007B5CFF" w:rsidRPr="00435100" w:rsidRDefault="00435100" w:rsidP="00435100">
      <w:pPr>
        <w:pStyle w:val="ListParagraph"/>
        <w:numPr>
          <w:ilvl w:val="0"/>
          <w:numId w:val="36"/>
        </w:numPr>
        <w:rPr>
          <w:sz w:val="20"/>
          <w:szCs w:val="20"/>
        </w:rPr>
      </w:pPr>
      <w:r w:rsidRPr="00435100">
        <w:rPr>
          <w:sz w:val="20"/>
          <w:szCs w:val="20"/>
        </w:rPr>
        <w:t xml:space="preserve">Delivery no.1 on each appliance from which interior firefighting is in operation, should be reserved for the fire attack team.  If more than one fire attack team is deployed using lay flat hose, they should have a dedicated appliance per team. </w:t>
      </w:r>
    </w:p>
    <w:p w14:paraId="4C9A73FB" w14:textId="773ACB15" w:rsidR="007B5CFF" w:rsidRPr="00435100" w:rsidRDefault="007B5CFF" w:rsidP="007B5CFF">
      <w:pPr>
        <w:pStyle w:val="ListParagraph"/>
        <w:numPr>
          <w:ilvl w:val="0"/>
          <w:numId w:val="36"/>
        </w:numPr>
        <w:rPr>
          <w:sz w:val="20"/>
          <w:szCs w:val="20"/>
        </w:rPr>
      </w:pPr>
      <w:r w:rsidRPr="00435100">
        <w:rPr>
          <w:sz w:val="20"/>
          <w:szCs w:val="20"/>
        </w:rPr>
        <w:t>1x Dutch rolled 64mm hose (add additional 64mm lengths dependant on proximity of pump from entry point) from delivery no.2 (see Fig.</w:t>
      </w:r>
      <w:r w:rsidR="00435100" w:rsidRPr="00435100">
        <w:rPr>
          <w:sz w:val="20"/>
          <w:szCs w:val="20"/>
        </w:rPr>
        <w:t>5</w:t>
      </w:r>
      <w:r w:rsidRPr="00435100">
        <w:rPr>
          <w:sz w:val="20"/>
          <w:szCs w:val="20"/>
        </w:rPr>
        <w:t xml:space="preserve">) into a dividing </w:t>
      </w:r>
      <w:r w:rsidR="0051630F">
        <w:rPr>
          <w:sz w:val="20"/>
          <w:szCs w:val="20"/>
        </w:rPr>
        <w:t>breeching</w:t>
      </w:r>
      <w:r w:rsidRPr="00435100">
        <w:rPr>
          <w:sz w:val="20"/>
          <w:szCs w:val="20"/>
        </w:rPr>
        <w:t xml:space="preserve"> to be positioned close to the entry point (see Fig.</w:t>
      </w:r>
      <w:r w:rsidR="00435100" w:rsidRPr="00435100">
        <w:rPr>
          <w:sz w:val="20"/>
          <w:szCs w:val="20"/>
        </w:rPr>
        <w:t>6</w:t>
      </w:r>
      <w:r w:rsidRPr="00435100">
        <w:rPr>
          <w:sz w:val="20"/>
          <w:szCs w:val="20"/>
        </w:rPr>
        <w:t>).</w:t>
      </w:r>
    </w:p>
    <w:p w14:paraId="5C6041FE" w14:textId="77777777" w:rsidR="007B5CFF" w:rsidRPr="00435100" w:rsidRDefault="007B5CFF" w:rsidP="007B5CFF">
      <w:pPr>
        <w:pStyle w:val="ListParagraph"/>
        <w:numPr>
          <w:ilvl w:val="0"/>
          <w:numId w:val="36"/>
        </w:numPr>
        <w:rPr>
          <w:sz w:val="20"/>
          <w:szCs w:val="20"/>
        </w:rPr>
      </w:pPr>
      <w:r w:rsidRPr="00435100">
        <w:rPr>
          <w:sz w:val="20"/>
          <w:szCs w:val="20"/>
        </w:rPr>
        <w:t>Delivery no.2 on each appliance from which interior firefighting is in operation, should be reserved for the ‘safety’ and ‘covering’ jet set up.</w:t>
      </w:r>
    </w:p>
    <w:p w14:paraId="73D096FF" w14:textId="2376858D" w:rsidR="007B5CFF" w:rsidRPr="00435100" w:rsidRDefault="007B5CFF" w:rsidP="007B5CFF">
      <w:pPr>
        <w:pStyle w:val="ListParagraph"/>
        <w:numPr>
          <w:ilvl w:val="0"/>
          <w:numId w:val="36"/>
        </w:numPr>
        <w:rPr>
          <w:sz w:val="20"/>
          <w:szCs w:val="20"/>
        </w:rPr>
      </w:pPr>
      <w:r w:rsidRPr="00435100">
        <w:rPr>
          <w:sz w:val="20"/>
          <w:szCs w:val="20"/>
        </w:rPr>
        <w:t xml:space="preserve">Maximum 2x 38mm and/or 45mm hose (Cleveland load) from the right-hand outlet (think ‘Right Reserve’) of the dividing </w:t>
      </w:r>
      <w:r w:rsidR="0051630F">
        <w:rPr>
          <w:sz w:val="20"/>
          <w:szCs w:val="20"/>
        </w:rPr>
        <w:t>breeching</w:t>
      </w:r>
      <w:r w:rsidRPr="00435100">
        <w:rPr>
          <w:sz w:val="20"/>
          <w:szCs w:val="20"/>
        </w:rPr>
        <w:t xml:space="preserve"> terminating in a compartment </w:t>
      </w:r>
      <w:r w:rsidR="002E6083">
        <w:rPr>
          <w:sz w:val="20"/>
          <w:szCs w:val="20"/>
        </w:rPr>
        <w:t xml:space="preserve">branch </w:t>
      </w:r>
      <w:r w:rsidR="00435100" w:rsidRPr="00435100">
        <w:rPr>
          <w:sz w:val="20"/>
          <w:szCs w:val="20"/>
        </w:rPr>
        <w:t xml:space="preserve">(where available) OR main </w:t>
      </w:r>
      <w:r w:rsidRPr="00435100">
        <w:rPr>
          <w:sz w:val="20"/>
          <w:szCs w:val="20"/>
        </w:rPr>
        <w:t>branch to be charged as the ‘safety jet’.  If additional distance is required into a structure, use 64mm prior to connecting 38/45mm hose.</w:t>
      </w:r>
    </w:p>
    <w:p w14:paraId="243D99CB" w14:textId="77777777" w:rsidR="007B5CFF" w:rsidRPr="00435100" w:rsidRDefault="007B5CFF" w:rsidP="007B5CFF">
      <w:pPr>
        <w:pStyle w:val="ListParagraph"/>
        <w:numPr>
          <w:ilvl w:val="0"/>
          <w:numId w:val="36"/>
        </w:numPr>
        <w:rPr>
          <w:sz w:val="20"/>
          <w:szCs w:val="20"/>
        </w:rPr>
      </w:pPr>
      <w:r w:rsidRPr="00435100">
        <w:rPr>
          <w:sz w:val="20"/>
          <w:szCs w:val="20"/>
        </w:rPr>
        <w:t>The safety jet can be utilised as the covering jet at the front face of the property if required.</w:t>
      </w:r>
    </w:p>
    <w:p w14:paraId="431B4B9D" w14:textId="77777777" w:rsidR="00864DEC" w:rsidRDefault="007B5CFF" w:rsidP="00864DEC">
      <w:pPr>
        <w:pStyle w:val="ListParagraph"/>
        <w:numPr>
          <w:ilvl w:val="0"/>
          <w:numId w:val="36"/>
        </w:numPr>
        <w:rPr>
          <w:sz w:val="20"/>
          <w:szCs w:val="20"/>
        </w:rPr>
      </w:pPr>
      <w:r w:rsidRPr="00435100">
        <w:rPr>
          <w:sz w:val="20"/>
          <w:szCs w:val="20"/>
        </w:rPr>
        <w:t xml:space="preserve">2x 38 and/or 45mm and/or 64mm (Dutch 64 or cleveland 38/45) terminating in a main branch from the left-hand outlet of the dividing </w:t>
      </w:r>
      <w:r w:rsidR="0051630F">
        <w:rPr>
          <w:sz w:val="20"/>
          <w:szCs w:val="20"/>
        </w:rPr>
        <w:t>breeching</w:t>
      </w:r>
      <w:r w:rsidRPr="00435100">
        <w:rPr>
          <w:sz w:val="20"/>
          <w:szCs w:val="20"/>
        </w:rPr>
        <w:t xml:space="preserve"> to be used as a ‘covering jet’.  This can be left uncharged until it is confirmed what sector it is required.</w:t>
      </w:r>
    </w:p>
    <w:p w14:paraId="11ECD985" w14:textId="1B450D48" w:rsidR="00835F95" w:rsidRPr="00864DEC" w:rsidRDefault="007B5CFF" w:rsidP="00864DEC">
      <w:pPr>
        <w:pStyle w:val="ListParagraph"/>
        <w:numPr>
          <w:ilvl w:val="0"/>
          <w:numId w:val="36"/>
        </w:numPr>
        <w:rPr>
          <w:sz w:val="20"/>
          <w:szCs w:val="20"/>
        </w:rPr>
      </w:pPr>
      <w:r w:rsidRPr="00864DEC">
        <w:rPr>
          <w:sz w:val="20"/>
          <w:szCs w:val="20"/>
        </w:rPr>
        <w:t xml:space="preserve">It is good practice to ensure that </w:t>
      </w:r>
      <w:r w:rsidR="0051630F" w:rsidRPr="00864DEC">
        <w:rPr>
          <w:sz w:val="20"/>
          <w:szCs w:val="20"/>
        </w:rPr>
        <w:t xml:space="preserve">fire attack and safety/covering jet(s) </w:t>
      </w:r>
      <w:r w:rsidRPr="00864DEC">
        <w:rPr>
          <w:sz w:val="20"/>
          <w:szCs w:val="20"/>
        </w:rPr>
        <w:t xml:space="preserve">for interior firefighting operations are provided from separate appliances. Therefore, as soon as practicable, any ‘safety’ or ‘covering’ jets should be transferred from the appliance supplying the </w:t>
      </w:r>
      <w:r w:rsidR="0051630F" w:rsidRPr="00864DEC">
        <w:rPr>
          <w:sz w:val="20"/>
          <w:szCs w:val="20"/>
        </w:rPr>
        <w:t>fire attack delivery</w:t>
      </w:r>
      <w:r w:rsidRPr="00864DEC">
        <w:rPr>
          <w:sz w:val="20"/>
          <w:szCs w:val="20"/>
        </w:rPr>
        <w:t xml:space="preserve"> to a secondary appliance on the incident ground. This transfer can be implemented immediately if two pumps are in attendance on arrival, or at the earliest opportunity following the arrival of the second appliance.</w:t>
      </w:r>
    </w:p>
    <w:p w14:paraId="4D43548B" w14:textId="258ECC4D" w:rsidR="001D3C59" w:rsidRPr="00435100" w:rsidRDefault="001D3C59" w:rsidP="00435100">
      <w:pPr>
        <w:pStyle w:val="ListParagraph"/>
        <w:numPr>
          <w:ilvl w:val="0"/>
          <w:numId w:val="36"/>
        </w:numPr>
        <w:spacing w:line="300" w:lineRule="atLeast"/>
        <w:rPr>
          <w:rStyle w:val="Hyperlink"/>
          <w:rFonts w:cs="Arial"/>
          <w:b w:val="0"/>
          <w:color w:val="auto"/>
          <w:sz w:val="20"/>
          <w:szCs w:val="20"/>
          <w:u w:val="none"/>
        </w:rPr>
      </w:pPr>
      <w:r>
        <w:rPr>
          <w:rFonts w:cs="Arial"/>
          <w:sz w:val="20"/>
          <w:szCs w:val="20"/>
        </w:rPr>
        <w:t>Refer to Flow &amp; Pressure Matrix for appropriate appliance pumping pressures based on required flow rates.</w:t>
      </w:r>
    </w:p>
    <w:sectPr w:rsidR="001D3C59" w:rsidRPr="00435100" w:rsidSect="00835F95">
      <w:headerReference w:type="even" r:id="rId18"/>
      <w:headerReference w:type="default" r:id="rId19"/>
      <w:footerReference w:type="even" r:id="rId20"/>
      <w:footerReference w:type="default" r:id="rId21"/>
      <w:headerReference w:type="first" r:id="rId22"/>
      <w:footerReference w:type="first" r:id="rId23"/>
      <w:pgSz w:w="11906" w:h="16838" w:code="9"/>
      <w:pgMar w:top="911" w:right="851" w:bottom="2002" w:left="851" w:header="57"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F7A00" w14:textId="77777777" w:rsidR="00E86CEE" w:rsidRDefault="00E86CEE">
      <w:r>
        <w:separator/>
      </w:r>
    </w:p>
    <w:p w14:paraId="72F846A9" w14:textId="77777777" w:rsidR="00E86CEE" w:rsidRDefault="00E86CEE"/>
  </w:endnote>
  <w:endnote w:type="continuationSeparator" w:id="0">
    <w:p w14:paraId="71EDC889" w14:textId="77777777" w:rsidR="00E86CEE" w:rsidRDefault="00E86CEE">
      <w:r>
        <w:continuationSeparator/>
      </w:r>
    </w:p>
    <w:p w14:paraId="4A333764" w14:textId="77777777" w:rsidR="00E86CEE" w:rsidRDefault="00E86C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A3DE2" w14:textId="2744E9E7" w:rsidR="00282847" w:rsidRPr="00922A40" w:rsidRDefault="00362EE5" w:rsidP="00922A40">
    <w:pPr>
      <w:rPr>
        <w:rFonts w:cs="Arial"/>
        <w:b/>
        <w:color w:val="2C2F2E"/>
        <w:sz w:val="19"/>
        <w:szCs w:val="19"/>
      </w:rPr>
    </w:pPr>
    <w:r>
      <w:rPr>
        <w:rFonts w:cs="Arial"/>
        <w:b/>
        <w:noProof/>
        <w:color w:val="2C2F2E"/>
        <w:sz w:val="19"/>
        <w:szCs w:val="19"/>
      </w:rPr>
      <w:drawing>
        <wp:anchor distT="0" distB="0" distL="114300" distR="114300" simplePos="0" relativeHeight="251665408" behindDoc="1" locked="0" layoutInCell="1" allowOverlap="1" wp14:anchorId="19CE01DC" wp14:editId="75865F9A">
          <wp:simplePos x="0" y="0"/>
          <wp:positionH relativeFrom="column">
            <wp:posOffset>-540385</wp:posOffset>
          </wp:positionH>
          <wp:positionV relativeFrom="paragraph">
            <wp:posOffset>34402</wp:posOffset>
          </wp:positionV>
          <wp:extent cx="7723714" cy="58435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23714" cy="584350"/>
                  </a:xfrm>
                  <a:prstGeom prst="rect">
                    <a:avLst/>
                  </a:prstGeom>
                </pic:spPr>
              </pic:pic>
            </a:graphicData>
          </a:graphic>
          <wp14:sizeRelH relativeFrom="page">
            <wp14:pctWidth>0</wp14:pctWidth>
          </wp14:sizeRelH>
          <wp14:sizeRelV relativeFrom="page">
            <wp14:pctHeight>0</wp14:pctHeight>
          </wp14:sizeRelV>
        </wp:anchor>
      </w:drawing>
    </w:r>
    <w:r w:rsidR="00282847" w:rsidRPr="00922A40">
      <w:rPr>
        <w:rFonts w:cs="Arial"/>
        <w:b/>
        <w:color w:val="2C2F2E"/>
        <w:sz w:val="19"/>
        <w:szCs w:val="19"/>
      </w:rPr>
      <w:fldChar w:fldCharType="begin"/>
    </w:r>
    <w:r w:rsidR="00282847" w:rsidRPr="00922A40">
      <w:rPr>
        <w:rFonts w:cs="Arial"/>
        <w:b/>
        <w:color w:val="2C2F2E"/>
        <w:sz w:val="19"/>
        <w:szCs w:val="19"/>
      </w:rPr>
      <w:instrText xml:space="preserve"> PAGE </w:instrText>
    </w:r>
    <w:r w:rsidR="00282847" w:rsidRPr="00922A40">
      <w:rPr>
        <w:rFonts w:cs="Arial"/>
        <w:b/>
        <w:color w:val="2C2F2E"/>
        <w:sz w:val="19"/>
        <w:szCs w:val="19"/>
      </w:rPr>
      <w:fldChar w:fldCharType="separate"/>
    </w:r>
    <w:r w:rsidR="00117798" w:rsidRPr="00922A40">
      <w:rPr>
        <w:rFonts w:cs="Arial"/>
        <w:b/>
        <w:noProof/>
        <w:color w:val="2C2F2E"/>
        <w:sz w:val="19"/>
        <w:szCs w:val="19"/>
      </w:rPr>
      <w:t>16</w:t>
    </w:r>
    <w:r w:rsidR="00282847" w:rsidRPr="00922A40">
      <w:rPr>
        <w:rFonts w:cs="Arial"/>
        <w:b/>
        <w:color w:val="2C2F2E"/>
        <w:sz w:val="19"/>
        <w:szCs w:val="19"/>
      </w:rPr>
      <w:fldChar w:fldCharType="end"/>
    </w:r>
    <w:r w:rsidR="00282847" w:rsidRPr="00922A40">
      <w:rPr>
        <w:rFonts w:cs="Arial"/>
        <w:b/>
        <w:color w:val="2C2F2E"/>
        <w:sz w:val="19"/>
        <w:szCs w:val="19"/>
      </w:rPr>
      <w:t xml:space="preserve">     </w:t>
    </w:r>
    <w:r w:rsidR="00922A40">
      <w:rPr>
        <w:rFonts w:cs="Arial"/>
        <w:b/>
        <w:color w:val="2C2F2E"/>
        <w:sz w:val="19"/>
        <w:szCs w:val="19"/>
      </w:rPr>
      <w:t xml:space="preserve">                                                                                                                        </w:t>
    </w:r>
    <w:r w:rsidR="00282847" w:rsidRPr="00922A40">
      <w:rPr>
        <w:rFonts w:cs="Arial"/>
        <w:b/>
        <w:color w:val="2C2F2E"/>
        <w:sz w:val="19"/>
        <w:szCs w:val="19"/>
      </w:rPr>
      <w:t>Travel and Subsistence J</w:t>
    </w:r>
    <w:r w:rsidR="00922A40">
      <w:rPr>
        <w:rFonts w:cs="Arial"/>
        <w:b/>
        <w:color w:val="2C2F2E"/>
        <w:sz w:val="19"/>
        <w:szCs w:val="19"/>
      </w:rPr>
      <w:t>anuary</w:t>
    </w:r>
    <w:r w:rsidR="00282847" w:rsidRPr="00922A40">
      <w:rPr>
        <w:rFonts w:cs="Arial"/>
        <w:b/>
        <w:color w:val="2C2F2E"/>
        <w:sz w:val="19"/>
        <w:szCs w:val="19"/>
      </w:rPr>
      <w:t xml:space="preserve"> 20</w:t>
    </w:r>
    <w:r w:rsidR="00922A40">
      <w:rPr>
        <w:rFonts w:cs="Arial"/>
        <w:b/>
        <w:color w:val="2C2F2E"/>
        <w:sz w:val="19"/>
        <w:szCs w:val="19"/>
      </w:rPr>
      <w:t>23</w:t>
    </w:r>
  </w:p>
  <w:p w14:paraId="6CB4ECDA" w14:textId="758370E2" w:rsidR="00282847" w:rsidRDefault="00282847"/>
  <w:p w14:paraId="1DC5EB98" w14:textId="77777777" w:rsidR="00FC1CF2" w:rsidRDefault="00FC1CF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85624" w14:textId="210685A1" w:rsidR="0064303C" w:rsidRPr="00922A40" w:rsidRDefault="00362EE5" w:rsidP="0064303C">
    <w:pPr>
      <w:rPr>
        <w:rFonts w:cs="Arial"/>
        <w:b/>
        <w:color w:val="2C2F2E"/>
        <w:sz w:val="19"/>
        <w:szCs w:val="19"/>
      </w:rPr>
    </w:pPr>
    <w:r>
      <w:rPr>
        <w:noProof/>
      </w:rPr>
      <w:drawing>
        <wp:anchor distT="0" distB="0" distL="114300" distR="114300" simplePos="0" relativeHeight="251666432" behindDoc="1" locked="0" layoutInCell="1" allowOverlap="1" wp14:anchorId="3AB71D81" wp14:editId="36642E92">
          <wp:simplePos x="0" y="0"/>
          <wp:positionH relativeFrom="column">
            <wp:posOffset>-540385</wp:posOffset>
          </wp:positionH>
          <wp:positionV relativeFrom="paragraph">
            <wp:posOffset>46243</wp:posOffset>
          </wp:positionV>
          <wp:extent cx="7559675" cy="571939"/>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9675" cy="571939"/>
                  </a:xfrm>
                  <a:prstGeom prst="rect">
                    <a:avLst/>
                  </a:prstGeom>
                </pic:spPr>
              </pic:pic>
            </a:graphicData>
          </a:graphic>
          <wp14:sizeRelH relativeFrom="page">
            <wp14:pctWidth>0</wp14:pctWidth>
          </wp14:sizeRelH>
          <wp14:sizeRelV relativeFrom="page">
            <wp14:pctHeight>0</wp14:pctHeight>
          </wp14:sizeRelV>
        </wp:anchor>
      </w:drawing>
    </w:r>
    <w:r w:rsidR="0064303C" w:rsidRPr="00922A40">
      <w:rPr>
        <w:rFonts w:cs="Arial"/>
        <w:b/>
        <w:color w:val="2C2F2E"/>
        <w:sz w:val="19"/>
        <w:szCs w:val="19"/>
      </w:rPr>
      <w:fldChar w:fldCharType="begin"/>
    </w:r>
    <w:r w:rsidR="0064303C" w:rsidRPr="00922A40">
      <w:rPr>
        <w:rFonts w:cs="Arial"/>
        <w:b/>
        <w:color w:val="2C2F2E"/>
        <w:sz w:val="19"/>
        <w:szCs w:val="19"/>
      </w:rPr>
      <w:instrText xml:space="preserve"> PAGE </w:instrText>
    </w:r>
    <w:r w:rsidR="0064303C" w:rsidRPr="00922A40">
      <w:rPr>
        <w:rFonts w:cs="Arial"/>
        <w:b/>
        <w:color w:val="2C2F2E"/>
        <w:sz w:val="19"/>
        <w:szCs w:val="19"/>
      </w:rPr>
      <w:fldChar w:fldCharType="separate"/>
    </w:r>
    <w:r w:rsidR="0064303C">
      <w:rPr>
        <w:rFonts w:cs="Arial"/>
        <w:b/>
        <w:color w:val="2C2F2E"/>
        <w:sz w:val="19"/>
        <w:szCs w:val="19"/>
      </w:rPr>
      <w:t>2</w:t>
    </w:r>
    <w:r w:rsidR="0064303C" w:rsidRPr="00922A40">
      <w:rPr>
        <w:rFonts w:cs="Arial"/>
        <w:b/>
        <w:color w:val="2C2F2E"/>
        <w:sz w:val="19"/>
        <w:szCs w:val="19"/>
      </w:rPr>
      <w:fldChar w:fldCharType="end"/>
    </w:r>
    <w:r w:rsidR="0064303C" w:rsidRPr="00922A40">
      <w:rPr>
        <w:rFonts w:cs="Arial"/>
        <w:b/>
        <w:color w:val="2C2F2E"/>
        <w:sz w:val="19"/>
        <w:szCs w:val="19"/>
      </w:rPr>
      <w:t xml:space="preserve">     </w:t>
    </w:r>
    <w:r w:rsidR="0064303C">
      <w:rPr>
        <w:rFonts w:cs="Arial"/>
        <w:b/>
        <w:color w:val="2C2F2E"/>
        <w:sz w:val="19"/>
        <w:szCs w:val="19"/>
      </w:rPr>
      <w:t xml:space="preserve">                                                                                                                        </w:t>
    </w:r>
  </w:p>
  <w:p w14:paraId="047D987F" w14:textId="50A97396" w:rsidR="00282847" w:rsidRDefault="00282847"/>
  <w:p w14:paraId="4696E823" w14:textId="77777777" w:rsidR="00FC1CF2" w:rsidRDefault="00FC1CF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4813A" w14:textId="7785DC15" w:rsidR="00282847" w:rsidRPr="007257C5" w:rsidRDefault="00362EE5" w:rsidP="004B0EBD">
    <w:pPr>
      <w:jc w:val="right"/>
      <w:rPr>
        <w:rFonts w:cs="Arial"/>
        <w:b/>
        <w:color w:val="999999"/>
        <w:sz w:val="19"/>
        <w:szCs w:val="19"/>
      </w:rPr>
    </w:pPr>
    <w:r>
      <w:rPr>
        <w:rFonts w:cs="Arial"/>
        <w:b/>
        <w:noProof/>
        <w:color w:val="999999"/>
        <w:sz w:val="19"/>
        <w:szCs w:val="19"/>
      </w:rPr>
      <w:drawing>
        <wp:anchor distT="0" distB="0" distL="114300" distR="114300" simplePos="0" relativeHeight="251664384" behindDoc="1" locked="0" layoutInCell="1" allowOverlap="1" wp14:anchorId="44686FE0" wp14:editId="5CF7DB6B">
          <wp:simplePos x="0" y="0"/>
          <wp:positionH relativeFrom="column">
            <wp:posOffset>-540386</wp:posOffset>
          </wp:positionH>
          <wp:positionV relativeFrom="paragraph">
            <wp:posOffset>-1100287</wp:posOffset>
          </wp:positionV>
          <wp:extent cx="7559675" cy="1549867"/>
          <wp:effectExtent l="0" t="0" r="0" b="0"/>
          <wp:wrapNone/>
          <wp:docPr id="362" name="Picture 362"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9349" cy="156005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5835A" w14:textId="77777777" w:rsidR="00E86CEE" w:rsidRDefault="00E86CEE">
      <w:r>
        <w:separator/>
      </w:r>
    </w:p>
    <w:p w14:paraId="2B6CCC91" w14:textId="77777777" w:rsidR="00E86CEE" w:rsidRDefault="00E86CEE"/>
  </w:footnote>
  <w:footnote w:type="continuationSeparator" w:id="0">
    <w:p w14:paraId="36EA328D" w14:textId="77777777" w:rsidR="00E86CEE" w:rsidRDefault="00E86CEE">
      <w:r>
        <w:continuationSeparator/>
      </w:r>
    </w:p>
    <w:p w14:paraId="51A20E0F" w14:textId="77777777" w:rsidR="00E86CEE" w:rsidRDefault="00E86C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406A" w14:textId="6AC8F784" w:rsidR="00282847" w:rsidRPr="00922A40" w:rsidRDefault="00922A40" w:rsidP="00922A40">
    <w:pPr>
      <w:rPr>
        <w:rFonts w:cs="Arial"/>
        <w:b/>
        <w:color w:val="007EA9"/>
        <w:sz w:val="19"/>
        <w:szCs w:val="19"/>
      </w:rPr>
    </w:pPr>
    <w:r>
      <w:rPr>
        <w:rFonts w:cs="Arial"/>
        <w:b/>
        <w:noProof/>
        <w:color w:val="007EA9"/>
        <w:sz w:val="19"/>
        <w:szCs w:val="19"/>
      </w:rPr>
      <w:drawing>
        <wp:anchor distT="0" distB="0" distL="114300" distR="114300" simplePos="0" relativeHeight="251659264" behindDoc="1" locked="0" layoutInCell="1" allowOverlap="1" wp14:anchorId="6A147F44" wp14:editId="138355F6">
          <wp:simplePos x="0" y="0"/>
          <wp:positionH relativeFrom="column">
            <wp:posOffset>-540385</wp:posOffset>
          </wp:positionH>
          <wp:positionV relativeFrom="paragraph">
            <wp:posOffset>-22918</wp:posOffset>
          </wp:positionV>
          <wp:extent cx="7560000" cy="431936"/>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560000" cy="431936"/>
                  </a:xfrm>
                  <a:prstGeom prst="rect">
                    <a:avLst/>
                  </a:prstGeom>
                </pic:spPr>
              </pic:pic>
            </a:graphicData>
          </a:graphic>
          <wp14:sizeRelH relativeFrom="page">
            <wp14:pctWidth>0</wp14:pctWidth>
          </wp14:sizeRelH>
          <wp14:sizeRelV relativeFrom="page">
            <wp14:pctHeight>0</wp14:pctHeight>
          </wp14:sizeRelV>
        </wp:anchor>
      </w:drawing>
    </w:r>
  </w:p>
  <w:p w14:paraId="78E7BAC9" w14:textId="77777777" w:rsidR="00FC1CF2" w:rsidRDefault="00FC1C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12D47" w14:textId="44144787" w:rsidR="00282847" w:rsidRDefault="0064303C" w:rsidP="000D0DFF">
    <w:pPr>
      <w:tabs>
        <w:tab w:val="left" w:pos="0"/>
      </w:tabs>
      <w:ind w:left="-851" w:right="-56"/>
      <w:jc w:val="right"/>
      <w:rPr>
        <w:rFonts w:cs="Arial"/>
        <w:b/>
        <w:color w:val="007EA9"/>
        <w:sz w:val="19"/>
        <w:szCs w:val="19"/>
      </w:rPr>
    </w:pPr>
    <w:r>
      <w:rPr>
        <w:noProof/>
      </w:rPr>
      <w:drawing>
        <wp:anchor distT="0" distB="0" distL="114300" distR="114300" simplePos="0" relativeHeight="251661312" behindDoc="1" locked="0" layoutInCell="1" allowOverlap="1" wp14:anchorId="1B3CD5C8" wp14:editId="47D8E3D8">
          <wp:simplePos x="0" y="0"/>
          <wp:positionH relativeFrom="column">
            <wp:posOffset>-540385</wp:posOffset>
          </wp:positionH>
          <wp:positionV relativeFrom="paragraph">
            <wp:posOffset>-9698</wp:posOffset>
          </wp:positionV>
          <wp:extent cx="7560000" cy="431936"/>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60000" cy="431936"/>
                  </a:xfrm>
                  <a:prstGeom prst="rect">
                    <a:avLst/>
                  </a:prstGeom>
                </pic:spPr>
              </pic:pic>
            </a:graphicData>
          </a:graphic>
          <wp14:sizeRelH relativeFrom="page">
            <wp14:pctWidth>0</wp14:pctWidth>
          </wp14:sizeRelH>
          <wp14:sizeRelV relativeFrom="page">
            <wp14:pctHeight>0</wp14:pctHeight>
          </wp14:sizeRelV>
        </wp:anchor>
      </w:drawing>
    </w:r>
  </w:p>
  <w:p w14:paraId="140F5A3B" w14:textId="77777777" w:rsidR="00835F95" w:rsidRDefault="00835F95" w:rsidP="000D0DFF">
    <w:pPr>
      <w:tabs>
        <w:tab w:val="left" w:pos="0"/>
      </w:tabs>
      <w:ind w:left="-851" w:right="-56"/>
      <w:jc w:val="right"/>
      <w:rPr>
        <w:rFonts w:cs="Arial"/>
        <w:b/>
        <w:color w:val="007EA9"/>
        <w:sz w:val="19"/>
        <w:szCs w:val="19"/>
      </w:rPr>
    </w:pPr>
  </w:p>
  <w:p w14:paraId="704F8CE7" w14:textId="77777777" w:rsidR="00FC1CF2" w:rsidRDefault="00FC1CF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57856" w14:textId="75B78163" w:rsidR="00282847" w:rsidRDefault="00EB2C8E" w:rsidP="004B0EBD">
    <w:pPr>
      <w:ind w:left="-851"/>
    </w:pPr>
    <w:r>
      <w:rPr>
        <w:noProof/>
      </w:rPr>
      <w:drawing>
        <wp:inline distT="0" distB="0" distL="0" distR="0" wp14:anchorId="1BEBAF6C" wp14:editId="685BB850">
          <wp:extent cx="7560000" cy="863873"/>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60000" cy="8638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250B1"/>
    <w:multiLevelType w:val="hybridMultilevel"/>
    <w:tmpl w:val="B10C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E0154"/>
    <w:multiLevelType w:val="hybridMultilevel"/>
    <w:tmpl w:val="73CE12FE"/>
    <w:lvl w:ilvl="0" w:tplc="06ECD238">
      <w:start w:val="1"/>
      <w:numFmt w:val="bullet"/>
      <w:lvlText w:val=""/>
      <w:lvlJc w:val="left"/>
      <w:pPr>
        <w:ind w:left="72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686F18"/>
    <w:multiLevelType w:val="hybridMultilevel"/>
    <w:tmpl w:val="72965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24B08"/>
    <w:multiLevelType w:val="multilevel"/>
    <w:tmpl w:val="48565F2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5505BF6"/>
    <w:multiLevelType w:val="hybridMultilevel"/>
    <w:tmpl w:val="C994B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6524A"/>
    <w:multiLevelType w:val="hybridMultilevel"/>
    <w:tmpl w:val="641877A4"/>
    <w:lvl w:ilvl="0" w:tplc="40C4E8DC">
      <w:start w:val="1"/>
      <w:numFmt w:val="bullet"/>
      <w:lvlText w:val=""/>
      <w:lvlJc w:val="left"/>
      <w:pPr>
        <w:ind w:left="720" w:hanging="360"/>
      </w:pPr>
      <w:rPr>
        <w:rFonts w:ascii="Symbol" w:hAnsi="Symbol" w:hint="default"/>
        <w:color w:val="0082AA"/>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66FC9"/>
    <w:multiLevelType w:val="multilevel"/>
    <w:tmpl w:val="A71C60F8"/>
    <w:lvl w:ilvl="0">
      <w:start w:val="6"/>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E4909B6"/>
    <w:multiLevelType w:val="hybridMultilevel"/>
    <w:tmpl w:val="67328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7620B1"/>
    <w:multiLevelType w:val="multilevel"/>
    <w:tmpl w:val="CA42D38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0064D65"/>
    <w:multiLevelType w:val="hybridMultilevel"/>
    <w:tmpl w:val="BE36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6F6A05"/>
    <w:multiLevelType w:val="hybridMultilevel"/>
    <w:tmpl w:val="6D8630F6"/>
    <w:lvl w:ilvl="0" w:tplc="06ECD238">
      <w:start w:val="1"/>
      <w:numFmt w:val="bullet"/>
      <w:lvlText w:val=""/>
      <w:lvlJc w:val="left"/>
      <w:pPr>
        <w:ind w:left="72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1B55F7F"/>
    <w:multiLevelType w:val="hybridMultilevel"/>
    <w:tmpl w:val="6D1AE0E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7E4CBD"/>
    <w:multiLevelType w:val="multilevel"/>
    <w:tmpl w:val="70F03C1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5A84A60"/>
    <w:multiLevelType w:val="hybridMultilevel"/>
    <w:tmpl w:val="71DA591C"/>
    <w:lvl w:ilvl="0" w:tplc="08090001">
      <w:start w:val="1"/>
      <w:numFmt w:val="bullet"/>
      <w:lvlText w:val=""/>
      <w:lvlJc w:val="left"/>
      <w:pPr>
        <w:ind w:left="720" w:hanging="360"/>
      </w:pPr>
      <w:rPr>
        <w:rFonts w:ascii="Symbol" w:hAnsi="Symbol" w:hint="default"/>
        <w:color w:val="0082AA"/>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2046D5"/>
    <w:multiLevelType w:val="hybridMultilevel"/>
    <w:tmpl w:val="4DD413FA"/>
    <w:lvl w:ilvl="0" w:tplc="08090003">
      <w:start w:val="1"/>
      <w:numFmt w:val="bullet"/>
      <w:lvlText w:val="o"/>
      <w:lvlJc w:val="left"/>
      <w:pPr>
        <w:tabs>
          <w:tab w:val="num" w:pos="1260"/>
        </w:tabs>
        <w:ind w:left="1260" w:hanging="360"/>
      </w:pPr>
      <w:rPr>
        <w:rFonts w:ascii="Courier New" w:hAnsi="Courier New" w:cs="Courier New" w:hint="default"/>
      </w:rPr>
    </w:lvl>
    <w:lvl w:ilvl="1" w:tplc="08090003">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262A4182"/>
    <w:multiLevelType w:val="hybridMultilevel"/>
    <w:tmpl w:val="78F01E84"/>
    <w:lvl w:ilvl="0" w:tplc="06ECD238">
      <w:start w:val="1"/>
      <w:numFmt w:val="bullet"/>
      <w:lvlText w:val=""/>
      <w:lvlJc w:val="left"/>
      <w:pPr>
        <w:ind w:left="72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04E4F57"/>
    <w:multiLevelType w:val="hybridMultilevel"/>
    <w:tmpl w:val="261A2FEC"/>
    <w:lvl w:ilvl="0" w:tplc="D1007078">
      <w:start w:val="1"/>
      <w:numFmt w:val="decimal"/>
      <w:lvlText w:val="%1."/>
      <w:lvlJc w:val="left"/>
      <w:pPr>
        <w:ind w:left="720" w:hanging="360"/>
      </w:pPr>
      <w:rPr>
        <w:rFonts w:ascii="Arial" w:hAnsi="Arial" w:cs="Times New Roman"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7A36D5"/>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7C959EF"/>
    <w:multiLevelType w:val="multilevel"/>
    <w:tmpl w:val="E9748522"/>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92C1A84"/>
    <w:multiLevelType w:val="multilevel"/>
    <w:tmpl w:val="C322A2E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F4E574B"/>
    <w:multiLevelType w:val="hybridMultilevel"/>
    <w:tmpl w:val="2B2C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443B5F"/>
    <w:multiLevelType w:val="hybridMultilevel"/>
    <w:tmpl w:val="8DEC3886"/>
    <w:lvl w:ilvl="0" w:tplc="DB4809CC">
      <w:start w:val="7"/>
      <w:numFmt w:val="decimal"/>
      <w:lvlText w:val="%1."/>
      <w:lvlJc w:val="left"/>
      <w:pPr>
        <w:ind w:left="720" w:hanging="360"/>
      </w:pPr>
      <w:rPr>
        <w:rFonts w:hint="default"/>
        <w:color w:val="0082AA"/>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652E86"/>
    <w:multiLevelType w:val="hybridMultilevel"/>
    <w:tmpl w:val="D578F06A"/>
    <w:lvl w:ilvl="0" w:tplc="0409000F">
      <w:start w:val="1"/>
      <w:numFmt w:val="decimal"/>
      <w:lvlText w:val="%1."/>
      <w:lvlJc w:val="left"/>
      <w:pPr>
        <w:tabs>
          <w:tab w:val="num" w:pos="720"/>
        </w:tabs>
        <w:ind w:left="720" w:hanging="360"/>
      </w:pPr>
      <w:rPr>
        <w:rFonts w:hint="default"/>
      </w:rPr>
    </w:lvl>
    <w:lvl w:ilvl="1" w:tplc="2ED2B5C4">
      <w:numFmt w:val="none"/>
      <w:lvlText w:val=""/>
      <w:lvlJc w:val="left"/>
      <w:pPr>
        <w:tabs>
          <w:tab w:val="num" w:pos="360"/>
        </w:tabs>
      </w:pPr>
    </w:lvl>
    <w:lvl w:ilvl="2" w:tplc="8EB2CF38">
      <w:numFmt w:val="none"/>
      <w:lvlText w:val=""/>
      <w:lvlJc w:val="left"/>
      <w:pPr>
        <w:tabs>
          <w:tab w:val="num" w:pos="360"/>
        </w:tabs>
      </w:pPr>
    </w:lvl>
    <w:lvl w:ilvl="3" w:tplc="58344F78">
      <w:numFmt w:val="none"/>
      <w:lvlText w:val=""/>
      <w:lvlJc w:val="left"/>
      <w:pPr>
        <w:tabs>
          <w:tab w:val="num" w:pos="360"/>
        </w:tabs>
      </w:pPr>
    </w:lvl>
    <w:lvl w:ilvl="4" w:tplc="0298C2AE">
      <w:numFmt w:val="none"/>
      <w:lvlText w:val=""/>
      <w:lvlJc w:val="left"/>
      <w:pPr>
        <w:tabs>
          <w:tab w:val="num" w:pos="360"/>
        </w:tabs>
      </w:pPr>
    </w:lvl>
    <w:lvl w:ilvl="5" w:tplc="04628408">
      <w:numFmt w:val="none"/>
      <w:lvlText w:val=""/>
      <w:lvlJc w:val="left"/>
      <w:pPr>
        <w:tabs>
          <w:tab w:val="num" w:pos="360"/>
        </w:tabs>
      </w:pPr>
    </w:lvl>
    <w:lvl w:ilvl="6" w:tplc="D142619C">
      <w:numFmt w:val="none"/>
      <w:lvlText w:val=""/>
      <w:lvlJc w:val="left"/>
      <w:pPr>
        <w:tabs>
          <w:tab w:val="num" w:pos="360"/>
        </w:tabs>
      </w:pPr>
    </w:lvl>
    <w:lvl w:ilvl="7" w:tplc="0240BFA0">
      <w:numFmt w:val="none"/>
      <w:lvlText w:val=""/>
      <w:lvlJc w:val="left"/>
      <w:pPr>
        <w:tabs>
          <w:tab w:val="num" w:pos="360"/>
        </w:tabs>
      </w:pPr>
    </w:lvl>
    <w:lvl w:ilvl="8" w:tplc="E1EA63E2">
      <w:numFmt w:val="none"/>
      <w:lvlText w:val=""/>
      <w:lvlJc w:val="left"/>
      <w:pPr>
        <w:tabs>
          <w:tab w:val="num" w:pos="360"/>
        </w:tabs>
      </w:pPr>
    </w:lvl>
  </w:abstractNum>
  <w:abstractNum w:abstractNumId="23" w15:restartNumberingAfterBreak="0">
    <w:nsid w:val="459D57E4"/>
    <w:multiLevelType w:val="hybridMultilevel"/>
    <w:tmpl w:val="6028604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4" w15:restartNumberingAfterBreak="0">
    <w:nsid w:val="4E2063F6"/>
    <w:multiLevelType w:val="hybridMultilevel"/>
    <w:tmpl w:val="B4104C7A"/>
    <w:lvl w:ilvl="0" w:tplc="4B28915A">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8B5C48"/>
    <w:multiLevelType w:val="hybridMultilevel"/>
    <w:tmpl w:val="F32C71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4F3444B"/>
    <w:multiLevelType w:val="hybridMultilevel"/>
    <w:tmpl w:val="7BC6B798"/>
    <w:lvl w:ilvl="0" w:tplc="B0C87000">
      <w:start w:val="1"/>
      <w:numFmt w:val="bullet"/>
      <w:lvlText w:val=""/>
      <w:lvlJc w:val="left"/>
      <w:pPr>
        <w:ind w:left="72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2615EE4"/>
    <w:multiLevelType w:val="hybridMultilevel"/>
    <w:tmpl w:val="2EE43CF8"/>
    <w:lvl w:ilvl="0" w:tplc="E4C4D2BC">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004E88"/>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67283ED1"/>
    <w:multiLevelType w:val="hybridMultilevel"/>
    <w:tmpl w:val="334E99C0"/>
    <w:lvl w:ilvl="0" w:tplc="E1A65F64">
      <w:start w:val="1"/>
      <w:numFmt w:val="decimal"/>
      <w:lvlText w:val="%1."/>
      <w:lvlJc w:val="left"/>
      <w:pPr>
        <w:ind w:left="502" w:hanging="360"/>
      </w:pPr>
      <w:rPr>
        <w:rFonts w:ascii="Arial Black" w:hAnsi="Arial Black" w:hint="default"/>
        <w:color w:val="0082AA"/>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2019C1"/>
    <w:multiLevelType w:val="hybridMultilevel"/>
    <w:tmpl w:val="65528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471540"/>
    <w:multiLevelType w:val="hybridMultilevel"/>
    <w:tmpl w:val="367E0A5C"/>
    <w:lvl w:ilvl="0" w:tplc="DF9E540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4B0F2A"/>
    <w:multiLevelType w:val="hybridMultilevel"/>
    <w:tmpl w:val="6B643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E33E07"/>
    <w:multiLevelType w:val="hybridMultilevel"/>
    <w:tmpl w:val="C8E48926"/>
    <w:lvl w:ilvl="0" w:tplc="D676E61E">
      <w:start w:val="1"/>
      <w:numFmt w:val="decimal"/>
      <w:lvlText w:val="%1."/>
      <w:lvlJc w:val="left"/>
      <w:pPr>
        <w:ind w:left="720" w:hanging="360"/>
      </w:pPr>
      <w:rPr>
        <w:rFonts w:hint="default"/>
        <w:color w:val="0082AA"/>
        <w:w w:val="1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564F6F"/>
    <w:multiLevelType w:val="hybridMultilevel"/>
    <w:tmpl w:val="1C16D0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1902472">
    <w:abstractNumId w:val="3"/>
  </w:num>
  <w:num w:numId="2" w16cid:durableId="2067214319">
    <w:abstractNumId w:val="25"/>
  </w:num>
  <w:num w:numId="3" w16cid:durableId="1679310131">
    <w:abstractNumId w:val="17"/>
  </w:num>
  <w:num w:numId="4" w16cid:durableId="2082213094">
    <w:abstractNumId w:val="29"/>
  </w:num>
  <w:num w:numId="5" w16cid:durableId="1279528031">
    <w:abstractNumId w:val="23"/>
  </w:num>
  <w:num w:numId="6" w16cid:durableId="1948728523">
    <w:abstractNumId w:val="26"/>
  </w:num>
  <w:num w:numId="7" w16cid:durableId="1748765981">
    <w:abstractNumId w:val="9"/>
  </w:num>
  <w:num w:numId="8" w16cid:durableId="770470172">
    <w:abstractNumId w:val="20"/>
  </w:num>
  <w:num w:numId="9" w16cid:durableId="801507558">
    <w:abstractNumId w:val="33"/>
  </w:num>
  <w:num w:numId="10" w16cid:durableId="425855461">
    <w:abstractNumId w:val="6"/>
  </w:num>
  <w:num w:numId="11" w16cid:durableId="1868791141">
    <w:abstractNumId w:val="22"/>
  </w:num>
  <w:num w:numId="12" w16cid:durableId="1149713589">
    <w:abstractNumId w:val="18"/>
  </w:num>
  <w:num w:numId="13" w16cid:durableId="1825971133">
    <w:abstractNumId w:val="30"/>
  </w:num>
  <w:num w:numId="14" w16cid:durableId="501628944">
    <w:abstractNumId w:val="14"/>
  </w:num>
  <w:num w:numId="15" w16cid:durableId="742719538">
    <w:abstractNumId w:val="21"/>
  </w:num>
  <w:num w:numId="16" w16cid:durableId="1095250122">
    <w:abstractNumId w:val="8"/>
  </w:num>
  <w:num w:numId="17" w16cid:durableId="812720222">
    <w:abstractNumId w:val="34"/>
  </w:num>
  <w:num w:numId="18" w16cid:durableId="180556028">
    <w:abstractNumId w:val="19"/>
  </w:num>
  <w:num w:numId="19" w16cid:durableId="1160998515">
    <w:abstractNumId w:val="11"/>
  </w:num>
  <w:num w:numId="20" w16cid:durableId="1679581245">
    <w:abstractNumId w:val="12"/>
  </w:num>
  <w:num w:numId="21" w16cid:durableId="100075873">
    <w:abstractNumId w:val="16"/>
  </w:num>
  <w:num w:numId="22" w16cid:durableId="1531411270">
    <w:abstractNumId w:val="31"/>
  </w:num>
  <w:num w:numId="23" w16cid:durableId="1510289084">
    <w:abstractNumId w:val="4"/>
  </w:num>
  <w:num w:numId="24" w16cid:durableId="864752552">
    <w:abstractNumId w:val="2"/>
  </w:num>
  <w:num w:numId="25" w16cid:durableId="1965429499">
    <w:abstractNumId w:val="7"/>
  </w:num>
  <w:num w:numId="26" w16cid:durableId="1476288997">
    <w:abstractNumId w:val="5"/>
  </w:num>
  <w:num w:numId="27" w16cid:durableId="758795727">
    <w:abstractNumId w:val="28"/>
  </w:num>
  <w:num w:numId="28" w16cid:durableId="1819104245">
    <w:abstractNumId w:val="0"/>
  </w:num>
  <w:num w:numId="29" w16cid:durableId="1275988086">
    <w:abstractNumId w:val="35"/>
  </w:num>
  <w:num w:numId="30" w16cid:durableId="327287912">
    <w:abstractNumId w:val="13"/>
  </w:num>
  <w:num w:numId="31" w16cid:durableId="623586424">
    <w:abstractNumId w:val="1"/>
  </w:num>
  <w:num w:numId="32" w16cid:durableId="613251922">
    <w:abstractNumId w:val="27"/>
  </w:num>
  <w:num w:numId="33" w16cid:durableId="90248434">
    <w:abstractNumId w:val="10"/>
  </w:num>
  <w:num w:numId="34" w16cid:durableId="1233462615">
    <w:abstractNumId w:val="15"/>
  </w:num>
  <w:num w:numId="35" w16cid:durableId="1147936225">
    <w:abstractNumId w:val="32"/>
  </w:num>
  <w:num w:numId="36" w16cid:durableId="10334554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36"/>
    <w:rsid w:val="000103E3"/>
    <w:rsid w:val="000118EF"/>
    <w:rsid w:val="00014C92"/>
    <w:rsid w:val="00015A79"/>
    <w:rsid w:val="000162B0"/>
    <w:rsid w:val="00020DCB"/>
    <w:rsid w:val="000254D9"/>
    <w:rsid w:val="0002751C"/>
    <w:rsid w:val="000334B2"/>
    <w:rsid w:val="00037852"/>
    <w:rsid w:val="00045A0A"/>
    <w:rsid w:val="0005097B"/>
    <w:rsid w:val="00054F7E"/>
    <w:rsid w:val="00055692"/>
    <w:rsid w:val="00061865"/>
    <w:rsid w:val="000655C3"/>
    <w:rsid w:val="000655EB"/>
    <w:rsid w:val="000749EF"/>
    <w:rsid w:val="00077F4E"/>
    <w:rsid w:val="000814C5"/>
    <w:rsid w:val="000A28DB"/>
    <w:rsid w:val="000A2AD3"/>
    <w:rsid w:val="000B3A69"/>
    <w:rsid w:val="000B6949"/>
    <w:rsid w:val="000B69A7"/>
    <w:rsid w:val="000B712A"/>
    <w:rsid w:val="000C0678"/>
    <w:rsid w:val="000C1774"/>
    <w:rsid w:val="000C5582"/>
    <w:rsid w:val="000C62F0"/>
    <w:rsid w:val="000D0DFF"/>
    <w:rsid w:val="000D0E03"/>
    <w:rsid w:val="000D6ECB"/>
    <w:rsid w:val="000E2C35"/>
    <w:rsid w:val="000E32BD"/>
    <w:rsid w:val="000E549B"/>
    <w:rsid w:val="000E79FD"/>
    <w:rsid w:val="000F0209"/>
    <w:rsid w:val="000F31FE"/>
    <w:rsid w:val="000F65D9"/>
    <w:rsid w:val="000F6F93"/>
    <w:rsid w:val="00104A3A"/>
    <w:rsid w:val="001067D2"/>
    <w:rsid w:val="001068B7"/>
    <w:rsid w:val="00113D9A"/>
    <w:rsid w:val="00117798"/>
    <w:rsid w:val="00124BE9"/>
    <w:rsid w:val="00135432"/>
    <w:rsid w:val="00144743"/>
    <w:rsid w:val="00144E71"/>
    <w:rsid w:val="00161CDF"/>
    <w:rsid w:val="00170CE1"/>
    <w:rsid w:val="0018284F"/>
    <w:rsid w:val="00182BFC"/>
    <w:rsid w:val="00186338"/>
    <w:rsid w:val="00192267"/>
    <w:rsid w:val="00193472"/>
    <w:rsid w:val="00196EB5"/>
    <w:rsid w:val="001A0858"/>
    <w:rsid w:val="001A1A49"/>
    <w:rsid w:val="001A1D46"/>
    <w:rsid w:val="001A28C4"/>
    <w:rsid w:val="001A2B01"/>
    <w:rsid w:val="001A6C88"/>
    <w:rsid w:val="001B2021"/>
    <w:rsid w:val="001B2246"/>
    <w:rsid w:val="001B2E3C"/>
    <w:rsid w:val="001B625A"/>
    <w:rsid w:val="001B7220"/>
    <w:rsid w:val="001C209C"/>
    <w:rsid w:val="001C3023"/>
    <w:rsid w:val="001D0693"/>
    <w:rsid w:val="001D2F8D"/>
    <w:rsid w:val="001D3C59"/>
    <w:rsid w:val="001E0E1F"/>
    <w:rsid w:val="001E3959"/>
    <w:rsid w:val="001E5DBA"/>
    <w:rsid w:val="001F1C3B"/>
    <w:rsid w:val="001F554C"/>
    <w:rsid w:val="001F6BDF"/>
    <w:rsid w:val="00204386"/>
    <w:rsid w:val="00205D1F"/>
    <w:rsid w:val="00210389"/>
    <w:rsid w:val="00217CE6"/>
    <w:rsid w:val="002208DF"/>
    <w:rsid w:val="002240B0"/>
    <w:rsid w:val="00225128"/>
    <w:rsid w:val="00226EC4"/>
    <w:rsid w:val="002279EF"/>
    <w:rsid w:val="002300F9"/>
    <w:rsid w:val="0023224B"/>
    <w:rsid w:val="002322B3"/>
    <w:rsid w:val="002353F8"/>
    <w:rsid w:val="00240964"/>
    <w:rsid w:val="00242986"/>
    <w:rsid w:val="00242A96"/>
    <w:rsid w:val="00244655"/>
    <w:rsid w:val="002457D0"/>
    <w:rsid w:val="00257439"/>
    <w:rsid w:val="002577A7"/>
    <w:rsid w:val="00260049"/>
    <w:rsid w:val="002611B2"/>
    <w:rsid w:val="00262990"/>
    <w:rsid w:val="002630D4"/>
    <w:rsid w:val="00265789"/>
    <w:rsid w:val="00267870"/>
    <w:rsid w:val="00275F83"/>
    <w:rsid w:val="00282847"/>
    <w:rsid w:val="002852D1"/>
    <w:rsid w:val="002949B5"/>
    <w:rsid w:val="00295CC7"/>
    <w:rsid w:val="00297394"/>
    <w:rsid w:val="002A3987"/>
    <w:rsid w:val="002A5203"/>
    <w:rsid w:val="002A52EB"/>
    <w:rsid w:val="002B4ED4"/>
    <w:rsid w:val="002B50B8"/>
    <w:rsid w:val="002D1E19"/>
    <w:rsid w:val="002D2913"/>
    <w:rsid w:val="002D5D8F"/>
    <w:rsid w:val="002E5A18"/>
    <w:rsid w:val="002E6083"/>
    <w:rsid w:val="002E6BB1"/>
    <w:rsid w:val="002E777E"/>
    <w:rsid w:val="002F6191"/>
    <w:rsid w:val="00301D18"/>
    <w:rsid w:val="003078CE"/>
    <w:rsid w:val="00310CE5"/>
    <w:rsid w:val="003139B3"/>
    <w:rsid w:val="00322019"/>
    <w:rsid w:val="00323A3A"/>
    <w:rsid w:val="00334B61"/>
    <w:rsid w:val="00335A09"/>
    <w:rsid w:val="00336F2C"/>
    <w:rsid w:val="0034154E"/>
    <w:rsid w:val="00345F8A"/>
    <w:rsid w:val="00352DC9"/>
    <w:rsid w:val="00361F2C"/>
    <w:rsid w:val="00362EE5"/>
    <w:rsid w:val="00366E6E"/>
    <w:rsid w:val="00373C28"/>
    <w:rsid w:val="003753CB"/>
    <w:rsid w:val="00384EE4"/>
    <w:rsid w:val="00385FF9"/>
    <w:rsid w:val="003943BA"/>
    <w:rsid w:val="00397922"/>
    <w:rsid w:val="003A1DCD"/>
    <w:rsid w:val="003A23A5"/>
    <w:rsid w:val="003A3117"/>
    <w:rsid w:val="003A68A9"/>
    <w:rsid w:val="003A7FC7"/>
    <w:rsid w:val="003B2690"/>
    <w:rsid w:val="003C3FBE"/>
    <w:rsid w:val="003D18FB"/>
    <w:rsid w:val="003D2E11"/>
    <w:rsid w:val="003D5EC2"/>
    <w:rsid w:val="003E2C80"/>
    <w:rsid w:val="003F172B"/>
    <w:rsid w:val="003F1DA2"/>
    <w:rsid w:val="003F333C"/>
    <w:rsid w:val="003F4818"/>
    <w:rsid w:val="004021D3"/>
    <w:rsid w:val="00413E8D"/>
    <w:rsid w:val="004168A4"/>
    <w:rsid w:val="004253EA"/>
    <w:rsid w:val="004263CF"/>
    <w:rsid w:val="00427035"/>
    <w:rsid w:val="00435100"/>
    <w:rsid w:val="004459E2"/>
    <w:rsid w:val="00447A2F"/>
    <w:rsid w:val="00453786"/>
    <w:rsid w:val="004553D8"/>
    <w:rsid w:val="004600CD"/>
    <w:rsid w:val="00462943"/>
    <w:rsid w:val="00466CA1"/>
    <w:rsid w:val="004740ED"/>
    <w:rsid w:val="004913BD"/>
    <w:rsid w:val="00492A5D"/>
    <w:rsid w:val="004A632C"/>
    <w:rsid w:val="004B0EBD"/>
    <w:rsid w:val="004B1516"/>
    <w:rsid w:val="004B46C2"/>
    <w:rsid w:val="004B472C"/>
    <w:rsid w:val="004C09F0"/>
    <w:rsid w:val="004C0B30"/>
    <w:rsid w:val="004C0F37"/>
    <w:rsid w:val="004C4F84"/>
    <w:rsid w:val="004E1ABA"/>
    <w:rsid w:val="004E3AD9"/>
    <w:rsid w:val="004E47C2"/>
    <w:rsid w:val="004E7AC9"/>
    <w:rsid w:val="004F413D"/>
    <w:rsid w:val="005012E8"/>
    <w:rsid w:val="005015DB"/>
    <w:rsid w:val="00502870"/>
    <w:rsid w:val="00505B1A"/>
    <w:rsid w:val="00506957"/>
    <w:rsid w:val="00515D3D"/>
    <w:rsid w:val="0051630F"/>
    <w:rsid w:val="00523C36"/>
    <w:rsid w:val="005267F4"/>
    <w:rsid w:val="00532349"/>
    <w:rsid w:val="00540D1D"/>
    <w:rsid w:val="00541565"/>
    <w:rsid w:val="005464C2"/>
    <w:rsid w:val="00546F07"/>
    <w:rsid w:val="00547376"/>
    <w:rsid w:val="005536FF"/>
    <w:rsid w:val="00555AB3"/>
    <w:rsid w:val="00560E18"/>
    <w:rsid w:val="00566707"/>
    <w:rsid w:val="00573984"/>
    <w:rsid w:val="00573C11"/>
    <w:rsid w:val="00575FA9"/>
    <w:rsid w:val="0058122A"/>
    <w:rsid w:val="0058330C"/>
    <w:rsid w:val="00592AE0"/>
    <w:rsid w:val="00593EDE"/>
    <w:rsid w:val="005A0B9A"/>
    <w:rsid w:val="005A1EE8"/>
    <w:rsid w:val="005A2F69"/>
    <w:rsid w:val="005A552F"/>
    <w:rsid w:val="005B641E"/>
    <w:rsid w:val="005C29CE"/>
    <w:rsid w:val="005D0D28"/>
    <w:rsid w:val="005D2708"/>
    <w:rsid w:val="005D3D9B"/>
    <w:rsid w:val="005D3F93"/>
    <w:rsid w:val="005D7111"/>
    <w:rsid w:val="005E7C71"/>
    <w:rsid w:val="005F11C8"/>
    <w:rsid w:val="005F74C4"/>
    <w:rsid w:val="00602E95"/>
    <w:rsid w:val="006134A8"/>
    <w:rsid w:val="006140C1"/>
    <w:rsid w:val="00615049"/>
    <w:rsid w:val="006213BE"/>
    <w:rsid w:val="00621E83"/>
    <w:rsid w:val="006275EF"/>
    <w:rsid w:val="00627D1E"/>
    <w:rsid w:val="00630CBA"/>
    <w:rsid w:val="006356BE"/>
    <w:rsid w:val="00642490"/>
    <w:rsid w:val="0064303C"/>
    <w:rsid w:val="0064524B"/>
    <w:rsid w:val="0064541A"/>
    <w:rsid w:val="00651188"/>
    <w:rsid w:val="00661973"/>
    <w:rsid w:val="00663175"/>
    <w:rsid w:val="006704DE"/>
    <w:rsid w:val="006836F4"/>
    <w:rsid w:val="00687175"/>
    <w:rsid w:val="006A2DCC"/>
    <w:rsid w:val="006B1240"/>
    <w:rsid w:val="006B5DA1"/>
    <w:rsid w:val="006C26C7"/>
    <w:rsid w:val="006C2B40"/>
    <w:rsid w:val="006C36D9"/>
    <w:rsid w:val="006C6A86"/>
    <w:rsid w:val="006D5585"/>
    <w:rsid w:val="006D61F4"/>
    <w:rsid w:val="006D7075"/>
    <w:rsid w:val="006E30C0"/>
    <w:rsid w:val="006F0F6F"/>
    <w:rsid w:val="007006E2"/>
    <w:rsid w:val="00705CD3"/>
    <w:rsid w:val="0070771E"/>
    <w:rsid w:val="0071194E"/>
    <w:rsid w:val="007138EE"/>
    <w:rsid w:val="00714513"/>
    <w:rsid w:val="007160BE"/>
    <w:rsid w:val="00723434"/>
    <w:rsid w:val="007257C5"/>
    <w:rsid w:val="00726EF2"/>
    <w:rsid w:val="00727065"/>
    <w:rsid w:val="00727705"/>
    <w:rsid w:val="00735539"/>
    <w:rsid w:val="007416D2"/>
    <w:rsid w:val="007450CE"/>
    <w:rsid w:val="00746AD7"/>
    <w:rsid w:val="00753BE4"/>
    <w:rsid w:val="00754642"/>
    <w:rsid w:val="00756B0B"/>
    <w:rsid w:val="00760636"/>
    <w:rsid w:val="00762E65"/>
    <w:rsid w:val="00784072"/>
    <w:rsid w:val="007B32FB"/>
    <w:rsid w:val="007B45CE"/>
    <w:rsid w:val="007B5CFF"/>
    <w:rsid w:val="007B5F9A"/>
    <w:rsid w:val="007D1565"/>
    <w:rsid w:val="007D33BD"/>
    <w:rsid w:val="007D5313"/>
    <w:rsid w:val="007E02C2"/>
    <w:rsid w:val="007E1BBC"/>
    <w:rsid w:val="007E2DA1"/>
    <w:rsid w:val="007F0F4C"/>
    <w:rsid w:val="007F2DBF"/>
    <w:rsid w:val="007F6EFB"/>
    <w:rsid w:val="008139D7"/>
    <w:rsid w:val="008170FF"/>
    <w:rsid w:val="00820172"/>
    <w:rsid w:val="00821D8E"/>
    <w:rsid w:val="00824F36"/>
    <w:rsid w:val="008278C0"/>
    <w:rsid w:val="00830216"/>
    <w:rsid w:val="00835F95"/>
    <w:rsid w:val="00836C10"/>
    <w:rsid w:val="00837D51"/>
    <w:rsid w:val="00844464"/>
    <w:rsid w:val="00846050"/>
    <w:rsid w:val="008548F3"/>
    <w:rsid w:val="00864A0C"/>
    <w:rsid w:val="00864DEC"/>
    <w:rsid w:val="008659FA"/>
    <w:rsid w:val="00867FD0"/>
    <w:rsid w:val="00875A3B"/>
    <w:rsid w:val="008837D5"/>
    <w:rsid w:val="00884016"/>
    <w:rsid w:val="008845B9"/>
    <w:rsid w:val="008858E4"/>
    <w:rsid w:val="00887102"/>
    <w:rsid w:val="00890D6C"/>
    <w:rsid w:val="00891AC9"/>
    <w:rsid w:val="00891BFE"/>
    <w:rsid w:val="00893696"/>
    <w:rsid w:val="008A3799"/>
    <w:rsid w:val="008A7A3B"/>
    <w:rsid w:val="008B2B99"/>
    <w:rsid w:val="008B2E23"/>
    <w:rsid w:val="008C3D45"/>
    <w:rsid w:val="008C646F"/>
    <w:rsid w:val="008D1740"/>
    <w:rsid w:val="008D3DF3"/>
    <w:rsid w:val="008D63BA"/>
    <w:rsid w:val="008E0FB6"/>
    <w:rsid w:val="008E4BBE"/>
    <w:rsid w:val="008F79A0"/>
    <w:rsid w:val="009054E6"/>
    <w:rsid w:val="009120E6"/>
    <w:rsid w:val="00912717"/>
    <w:rsid w:val="00920CD7"/>
    <w:rsid w:val="00921F72"/>
    <w:rsid w:val="00922A40"/>
    <w:rsid w:val="00923993"/>
    <w:rsid w:val="009422C2"/>
    <w:rsid w:val="00944FAA"/>
    <w:rsid w:val="00944FC0"/>
    <w:rsid w:val="0095010B"/>
    <w:rsid w:val="0095399F"/>
    <w:rsid w:val="00957780"/>
    <w:rsid w:val="00962033"/>
    <w:rsid w:val="009707F3"/>
    <w:rsid w:val="009729A3"/>
    <w:rsid w:val="00972FA9"/>
    <w:rsid w:val="00992607"/>
    <w:rsid w:val="00993A6F"/>
    <w:rsid w:val="00997FB0"/>
    <w:rsid w:val="009A6CCB"/>
    <w:rsid w:val="009A72AB"/>
    <w:rsid w:val="009B5CBB"/>
    <w:rsid w:val="009C192A"/>
    <w:rsid w:val="009C523D"/>
    <w:rsid w:val="009C6C81"/>
    <w:rsid w:val="009E7984"/>
    <w:rsid w:val="009E7F36"/>
    <w:rsid w:val="009F309C"/>
    <w:rsid w:val="00A00097"/>
    <w:rsid w:val="00A01F52"/>
    <w:rsid w:val="00A035D6"/>
    <w:rsid w:val="00A0799E"/>
    <w:rsid w:val="00A1159B"/>
    <w:rsid w:val="00A13B17"/>
    <w:rsid w:val="00A2477C"/>
    <w:rsid w:val="00A24AC9"/>
    <w:rsid w:val="00A2539E"/>
    <w:rsid w:val="00A330E1"/>
    <w:rsid w:val="00A56C3E"/>
    <w:rsid w:val="00A5728A"/>
    <w:rsid w:val="00A60FFC"/>
    <w:rsid w:val="00A63315"/>
    <w:rsid w:val="00A65130"/>
    <w:rsid w:val="00A8163E"/>
    <w:rsid w:val="00A83BE1"/>
    <w:rsid w:val="00A84663"/>
    <w:rsid w:val="00A87000"/>
    <w:rsid w:val="00A872E8"/>
    <w:rsid w:val="00A92ADA"/>
    <w:rsid w:val="00A93EC1"/>
    <w:rsid w:val="00A95FC0"/>
    <w:rsid w:val="00AA2BF6"/>
    <w:rsid w:val="00AA516F"/>
    <w:rsid w:val="00AA5AF9"/>
    <w:rsid w:val="00AA6FFE"/>
    <w:rsid w:val="00AB2B14"/>
    <w:rsid w:val="00AB32BA"/>
    <w:rsid w:val="00AC022D"/>
    <w:rsid w:val="00AC059D"/>
    <w:rsid w:val="00AC206F"/>
    <w:rsid w:val="00AC45B8"/>
    <w:rsid w:val="00AD5A2A"/>
    <w:rsid w:val="00AE6647"/>
    <w:rsid w:val="00B0040E"/>
    <w:rsid w:val="00B048F4"/>
    <w:rsid w:val="00B104CE"/>
    <w:rsid w:val="00B20111"/>
    <w:rsid w:val="00B2128D"/>
    <w:rsid w:val="00B21687"/>
    <w:rsid w:val="00B23E90"/>
    <w:rsid w:val="00B25F44"/>
    <w:rsid w:val="00B26FAE"/>
    <w:rsid w:val="00B31704"/>
    <w:rsid w:val="00B32E2D"/>
    <w:rsid w:val="00B34F57"/>
    <w:rsid w:val="00B403B2"/>
    <w:rsid w:val="00B4079D"/>
    <w:rsid w:val="00B40CE0"/>
    <w:rsid w:val="00B47F44"/>
    <w:rsid w:val="00B55433"/>
    <w:rsid w:val="00B609B3"/>
    <w:rsid w:val="00B71D40"/>
    <w:rsid w:val="00B82113"/>
    <w:rsid w:val="00B83907"/>
    <w:rsid w:val="00B922A4"/>
    <w:rsid w:val="00B94F92"/>
    <w:rsid w:val="00BA2E7E"/>
    <w:rsid w:val="00BA4EB6"/>
    <w:rsid w:val="00BA65EB"/>
    <w:rsid w:val="00BB24C4"/>
    <w:rsid w:val="00BB2CE8"/>
    <w:rsid w:val="00BB7B19"/>
    <w:rsid w:val="00BC153B"/>
    <w:rsid w:val="00BD20F8"/>
    <w:rsid w:val="00BD3892"/>
    <w:rsid w:val="00BE419D"/>
    <w:rsid w:val="00BE6820"/>
    <w:rsid w:val="00BE71E6"/>
    <w:rsid w:val="00BF12AC"/>
    <w:rsid w:val="00C03071"/>
    <w:rsid w:val="00C04261"/>
    <w:rsid w:val="00C0442A"/>
    <w:rsid w:val="00C13F95"/>
    <w:rsid w:val="00C16BDC"/>
    <w:rsid w:val="00C175AB"/>
    <w:rsid w:val="00C2249C"/>
    <w:rsid w:val="00C264BB"/>
    <w:rsid w:val="00C41CA7"/>
    <w:rsid w:val="00C55D3D"/>
    <w:rsid w:val="00C56CE1"/>
    <w:rsid w:val="00C61FEB"/>
    <w:rsid w:val="00C63A46"/>
    <w:rsid w:val="00C677A3"/>
    <w:rsid w:val="00C708E9"/>
    <w:rsid w:val="00C73FCC"/>
    <w:rsid w:val="00C7453D"/>
    <w:rsid w:val="00C8035F"/>
    <w:rsid w:val="00C820A0"/>
    <w:rsid w:val="00C94AEC"/>
    <w:rsid w:val="00CA07B7"/>
    <w:rsid w:val="00CC0379"/>
    <w:rsid w:val="00CC63A7"/>
    <w:rsid w:val="00CC68EF"/>
    <w:rsid w:val="00CD1AD9"/>
    <w:rsid w:val="00CE1805"/>
    <w:rsid w:val="00CE20F3"/>
    <w:rsid w:val="00CE400C"/>
    <w:rsid w:val="00CE7443"/>
    <w:rsid w:val="00CF0CA0"/>
    <w:rsid w:val="00CF4C18"/>
    <w:rsid w:val="00CF5AAE"/>
    <w:rsid w:val="00D00319"/>
    <w:rsid w:val="00D077D9"/>
    <w:rsid w:val="00D1394C"/>
    <w:rsid w:val="00D13FF1"/>
    <w:rsid w:val="00D33DBA"/>
    <w:rsid w:val="00D3429B"/>
    <w:rsid w:val="00D372A0"/>
    <w:rsid w:val="00D405A1"/>
    <w:rsid w:val="00D40C79"/>
    <w:rsid w:val="00D4189F"/>
    <w:rsid w:val="00D564C0"/>
    <w:rsid w:val="00D60555"/>
    <w:rsid w:val="00D64D06"/>
    <w:rsid w:val="00D6549A"/>
    <w:rsid w:val="00D70138"/>
    <w:rsid w:val="00D71910"/>
    <w:rsid w:val="00D73723"/>
    <w:rsid w:val="00D752DB"/>
    <w:rsid w:val="00D76338"/>
    <w:rsid w:val="00D77208"/>
    <w:rsid w:val="00D77EAB"/>
    <w:rsid w:val="00D82FC9"/>
    <w:rsid w:val="00D84230"/>
    <w:rsid w:val="00D96738"/>
    <w:rsid w:val="00DA64C0"/>
    <w:rsid w:val="00DA7B81"/>
    <w:rsid w:val="00DB0F2A"/>
    <w:rsid w:val="00DB34D1"/>
    <w:rsid w:val="00DC396A"/>
    <w:rsid w:val="00DD4E1A"/>
    <w:rsid w:val="00DE060E"/>
    <w:rsid w:val="00DE62A0"/>
    <w:rsid w:val="00DF4AB0"/>
    <w:rsid w:val="00E04EB4"/>
    <w:rsid w:val="00E053AA"/>
    <w:rsid w:val="00E12B8F"/>
    <w:rsid w:val="00E21865"/>
    <w:rsid w:val="00E25F08"/>
    <w:rsid w:val="00E32476"/>
    <w:rsid w:val="00E360FE"/>
    <w:rsid w:val="00E36C2C"/>
    <w:rsid w:val="00E50851"/>
    <w:rsid w:val="00E533C9"/>
    <w:rsid w:val="00E56122"/>
    <w:rsid w:val="00E567A7"/>
    <w:rsid w:val="00E65945"/>
    <w:rsid w:val="00E678CE"/>
    <w:rsid w:val="00E7451C"/>
    <w:rsid w:val="00E811C9"/>
    <w:rsid w:val="00E858DF"/>
    <w:rsid w:val="00E85D73"/>
    <w:rsid w:val="00E86CEE"/>
    <w:rsid w:val="00E86D9C"/>
    <w:rsid w:val="00E917A0"/>
    <w:rsid w:val="00E93E19"/>
    <w:rsid w:val="00E978FB"/>
    <w:rsid w:val="00EA0069"/>
    <w:rsid w:val="00EB16FA"/>
    <w:rsid w:val="00EB2C8E"/>
    <w:rsid w:val="00EC35EF"/>
    <w:rsid w:val="00EC43A6"/>
    <w:rsid w:val="00ED1518"/>
    <w:rsid w:val="00ED2D7A"/>
    <w:rsid w:val="00ED49F5"/>
    <w:rsid w:val="00EF1C0E"/>
    <w:rsid w:val="00EF3B59"/>
    <w:rsid w:val="00EF4D6E"/>
    <w:rsid w:val="00EF7CF6"/>
    <w:rsid w:val="00EF7F31"/>
    <w:rsid w:val="00F016B5"/>
    <w:rsid w:val="00F06DCE"/>
    <w:rsid w:val="00F13F30"/>
    <w:rsid w:val="00F15879"/>
    <w:rsid w:val="00F22886"/>
    <w:rsid w:val="00F242D0"/>
    <w:rsid w:val="00F2493A"/>
    <w:rsid w:val="00F26F9F"/>
    <w:rsid w:val="00F30B0D"/>
    <w:rsid w:val="00F321DB"/>
    <w:rsid w:val="00F528B0"/>
    <w:rsid w:val="00F5406D"/>
    <w:rsid w:val="00F62E1E"/>
    <w:rsid w:val="00F65263"/>
    <w:rsid w:val="00F65F3D"/>
    <w:rsid w:val="00F756B1"/>
    <w:rsid w:val="00F809FB"/>
    <w:rsid w:val="00F81BDC"/>
    <w:rsid w:val="00F83AB9"/>
    <w:rsid w:val="00F93D32"/>
    <w:rsid w:val="00F93DEF"/>
    <w:rsid w:val="00F97126"/>
    <w:rsid w:val="00FA151F"/>
    <w:rsid w:val="00FA4FD2"/>
    <w:rsid w:val="00FB6B0E"/>
    <w:rsid w:val="00FC1863"/>
    <w:rsid w:val="00FC1CF2"/>
    <w:rsid w:val="00FC40A5"/>
    <w:rsid w:val="00FD0EA7"/>
    <w:rsid w:val="00FD441A"/>
    <w:rsid w:val="00FE09E4"/>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5993C"/>
  <w15:docId w15:val="{7B7AB9DB-D2E0-403C-96D2-DBD37CA7C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5F95"/>
    <w:pPr>
      <w:spacing w:line="264" w:lineRule="auto"/>
    </w:pPr>
    <w:rPr>
      <w:rFonts w:ascii="Arial" w:hAnsi="Arial"/>
      <w:sz w:val="24"/>
      <w:szCs w:val="24"/>
    </w:rPr>
  </w:style>
  <w:style w:type="paragraph" w:styleId="Heading1">
    <w:name w:val="heading 1"/>
    <w:basedOn w:val="Normal"/>
    <w:next w:val="Normal"/>
    <w:link w:val="Heading1Char"/>
    <w:qFormat/>
    <w:rsid w:val="00835F95"/>
    <w:pPr>
      <w:keepNext/>
      <w:outlineLvl w:val="0"/>
    </w:pPr>
    <w:rPr>
      <w:rFonts w:ascii="Arial Black" w:hAnsi="Arial Black" w:cs="Arial"/>
      <w:b/>
      <w:bCs/>
      <w:color w:val="BB1822"/>
      <w:kern w:val="32"/>
      <w:sz w:val="52"/>
      <w:szCs w:val="44"/>
    </w:rPr>
  </w:style>
  <w:style w:type="paragraph" w:styleId="Heading2">
    <w:name w:val="heading 2"/>
    <w:basedOn w:val="Normal"/>
    <w:next w:val="Normal"/>
    <w:qFormat/>
    <w:rsid w:val="00835F95"/>
    <w:pPr>
      <w:keepNext/>
      <w:outlineLvl w:val="1"/>
    </w:pPr>
    <w:rPr>
      <w:rFonts w:cs="Arial"/>
      <w:b/>
      <w:bCs/>
      <w:iCs/>
      <w:color w:val="FFFFFF" w:themeColor="background1"/>
      <w:sz w:val="40"/>
      <w:szCs w:val="28"/>
    </w:rPr>
  </w:style>
  <w:style w:type="paragraph" w:styleId="Heading3">
    <w:name w:val="heading 3"/>
    <w:basedOn w:val="Normal"/>
    <w:next w:val="Normal"/>
    <w:qFormat/>
    <w:rsid w:val="00835F95"/>
    <w:pPr>
      <w:keepNext/>
      <w:outlineLvl w:val="2"/>
    </w:pPr>
    <w:rPr>
      <w:rFonts w:ascii="Arial Black" w:hAnsi="Arial Black" w:cs="Arial"/>
      <w:b/>
      <w:bCs/>
      <w:color w:val="BB182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835F95"/>
    <w:rPr>
      <w:rFonts w:ascii="Arial Black" w:hAnsi="Arial Black" w:cs="Arial"/>
      <w:b/>
      <w:bCs/>
      <w:color w:val="BB1822"/>
      <w:kern w:val="32"/>
      <w:sz w:val="52"/>
      <w:szCs w:val="44"/>
    </w:rPr>
  </w:style>
  <w:style w:type="character" w:styleId="Hyperlink">
    <w:name w:val="Hyperlink"/>
    <w:uiPriority w:val="99"/>
    <w:rsid w:val="00835F95"/>
    <w:rPr>
      <w:rFonts w:ascii="Arial" w:hAnsi="Arial"/>
      <w:b/>
      <w:color w:val="BB1822"/>
      <w:sz w:val="24"/>
      <w:u w:val="single"/>
    </w:rPr>
  </w:style>
  <w:style w:type="paragraph" w:styleId="Caption">
    <w:name w:val="caption"/>
    <w:basedOn w:val="Normal"/>
    <w:next w:val="Normal"/>
    <w:qFormat/>
    <w:rsid w:val="00A84663"/>
    <w:rPr>
      <w:b/>
      <w:bCs/>
      <w:szCs w:val="20"/>
    </w:rPr>
  </w:style>
  <w:style w:type="paragraph" w:styleId="TOC1">
    <w:name w:val="toc 1"/>
    <w:basedOn w:val="Normal"/>
    <w:next w:val="Normal"/>
    <w:autoRedefine/>
    <w:uiPriority w:val="39"/>
    <w:rsid w:val="008D63BA"/>
    <w:pPr>
      <w:tabs>
        <w:tab w:val="right" w:leader="dot" w:pos="10194"/>
      </w:tabs>
      <w:spacing w:line="360" w:lineRule="auto"/>
      <w:jc w:val="both"/>
    </w:pPr>
    <w:rPr>
      <w:b/>
      <w:noProof/>
      <w:w w:val="99"/>
      <w:lang w:eastAsia="en-US"/>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Cs w:val="20"/>
      <w:lang w:eastAsia="en-US"/>
    </w:rPr>
  </w:style>
  <w:style w:type="paragraph" w:styleId="ListParagraph">
    <w:name w:val="List Paragraph"/>
    <w:basedOn w:val="Normal"/>
    <w:uiPriority w:val="34"/>
    <w:qFormat/>
    <w:rsid w:val="003E2C80"/>
    <w:pPr>
      <w:ind w:left="720"/>
      <w:contextualSpacing/>
    </w:pPr>
  </w:style>
  <w:style w:type="character" w:styleId="FollowedHyperlink">
    <w:name w:val="FollowedHyperlink"/>
    <w:basedOn w:val="DefaultParagraphFont"/>
    <w:rsid w:val="00F528B0"/>
    <w:rPr>
      <w:color w:val="800080" w:themeColor="followedHyperlink"/>
      <w:u w:val="single"/>
    </w:rPr>
  </w:style>
  <w:style w:type="character" w:styleId="CommentReference">
    <w:name w:val="annotation reference"/>
    <w:basedOn w:val="DefaultParagraphFont"/>
    <w:rsid w:val="00F528B0"/>
    <w:rPr>
      <w:sz w:val="16"/>
      <w:szCs w:val="16"/>
    </w:rPr>
  </w:style>
  <w:style w:type="paragraph" w:styleId="CommentText">
    <w:name w:val="annotation text"/>
    <w:basedOn w:val="Normal"/>
    <w:link w:val="CommentTextChar"/>
    <w:rsid w:val="00F528B0"/>
    <w:pPr>
      <w:spacing w:line="240" w:lineRule="auto"/>
    </w:pPr>
    <w:rPr>
      <w:szCs w:val="20"/>
    </w:rPr>
  </w:style>
  <w:style w:type="character" w:customStyle="1" w:styleId="CommentTextChar">
    <w:name w:val="Comment Text Char"/>
    <w:basedOn w:val="DefaultParagraphFont"/>
    <w:link w:val="CommentText"/>
    <w:rsid w:val="00F528B0"/>
    <w:rPr>
      <w:rFonts w:ascii="Arial" w:hAnsi="Arial"/>
    </w:rPr>
  </w:style>
  <w:style w:type="paragraph" w:styleId="CommentSubject">
    <w:name w:val="annotation subject"/>
    <w:basedOn w:val="CommentText"/>
    <w:next w:val="CommentText"/>
    <w:link w:val="CommentSubjectChar"/>
    <w:rsid w:val="00F528B0"/>
    <w:rPr>
      <w:b/>
      <w:bCs/>
    </w:rPr>
  </w:style>
  <w:style w:type="character" w:customStyle="1" w:styleId="CommentSubjectChar">
    <w:name w:val="Comment Subject Char"/>
    <w:basedOn w:val="CommentTextChar"/>
    <w:link w:val="CommentSubject"/>
    <w:rsid w:val="00F528B0"/>
    <w:rPr>
      <w:rFonts w:ascii="Arial" w:hAnsi="Arial"/>
      <w:b/>
      <w:bCs/>
    </w:rPr>
  </w:style>
  <w:style w:type="paragraph" w:styleId="TOCHeading">
    <w:name w:val="TOC Heading"/>
    <w:basedOn w:val="Heading1"/>
    <w:next w:val="Normal"/>
    <w:uiPriority w:val="39"/>
    <w:unhideWhenUsed/>
    <w:qFormat/>
    <w:rsid w:val="00E85D73"/>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styleId="UnresolvedMention">
    <w:name w:val="Unresolved Mention"/>
    <w:basedOn w:val="DefaultParagraphFont"/>
    <w:uiPriority w:val="99"/>
    <w:semiHidden/>
    <w:unhideWhenUsed/>
    <w:rsid w:val="00466C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944250">
      <w:bodyDiv w:val="1"/>
      <w:marLeft w:val="0"/>
      <w:marRight w:val="0"/>
      <w:marTop w:val="0"/>
      <w:marBottom w:val="0"/>
      <w:divBdr>
        <w:top w:val="none" w:sz="0" w:space="0" w:color="auto"/>
        <w:left w:val="none" w:sz="0" w:space="0" w:color="auto"/>
        <w:bottom w:val="none" w:sz="0" w:space="0" w:color="auto"/>
        <w:right w:val="none" w:sz="0" w:space="0" w:color="auto"/>
      </w:divBdr>
    </w:div>
    <w:div w:id="35739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ireService.LD@cumbriafire.gov.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a3e32b-2f61-4ed2-8005-4759f7176664">
      <Terms xmlns="http://schemas.microsoft.com/office/infopath/2007/PartnerControls"/>
    </lcf76f155ced4ddcb4097134ff3c332f>
    <TaxCatchAll xmlns="c2b36edf-d6b4-4d40-9417-44b51de556ab" xsi:nil="true"/>
    <Thumbnail xmlns="a1a3e32b-2f61-4ed2-8005-4759f7176664" xsi:nil="true"/>
    <SharedWithUsers xmlns="d825955d-c47e-4fd7-8874-018c5c37d6f9">
      <UserInfo>
        <DisplayName>Hodgson, Caroline J</DisplayName>
        <AccountId>22</AccountId>
        <AccountType/>
      </UserInfo>
      <UserInfo>
        <DisplayName>Holton, Sarah</DisplayName>
        <AccountId>63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F55B783887D8644B1BB2AF88A1F729D" ma:contentTypeVersion="19" ma:contentTypeDescription="Create a new document." ma:contentTypeScope="" ma:versionID="7bbfbd43ea94956c1a7aee4903264827">
  <xsd:schema xmlns:xsd="http://www.w3.org/2001/XMLSchema" xmlns:xs="http://www.w3.org/2001/XMLSchema" xmlns:p="http://schemas.microsoft.com/office/2006/metadata/properties" xmlns:ns2="a1a3e32b-2f61-4ed2-8005-4759f7176664" xmlns:ns3="d825955d-c47e-4fd7-8874-018c5c37d6f9" xmlns:ns4="c2b36edf-d6b4-4d40-9417-44b51de556ab" targetNamespace="http://schemas.microsoft.com/office/2006/metadata/properties" ma:root="true" ma:fieldsID="2c9958cd79085cede58fc1b2d348d7c7" ns2:_="" ns3:_="" ns4:_="">
    <xsd:import namespace="a1a3e32b-2f61-4ed2-8005-4759f7176664"/>
    <xsd:import namespace="d825955d-c47e-4fd7-8874-018c5c37d6f9"/>
    <xsd:import namespace="c2b36edf-d6b4-4d40-9417-44b51de556a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Thumbnai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3e32b-2f61-4ed2-8005-4759f71766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ma:format="Thumbnail" ma:internalName="Thumbnail">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25955d-c47e-4fd7-8874-018c5c37d6f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b36edf-d6b4-4d40-9417-44b51de556a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3d60518-9806-4d65-ae06-d9af668bfa75}" ma:internalName="TaxCatchAll" ma:showField="CatchAllData" ma:web="d825955d-c47e-4fd7-8874-018c5c37d6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058A8E-C506-4E2E-93B3-8BACA3352CB5}">
  <ds:schemaRefs>
    <ds:schemaRef ds:uri="http://schemas.microsoft.com/office/infopath/2007/PartnerControls"/>
    <ds:schemaRef ds:uri="c2b36edf-d6b4-4d40-9417-44b51de556ab"/>
    <ds:schemaRef ds:uri="http://purl.org/dc/elements/1.1/"/>
    <ds:schemaRef ds:uri="http://purl.org/dc/terms/"/>
    <ds:schemaRef ds:uri="http://schemas.microsoft.com/office/2006/documentManagement/types"/>
    <ds:schemaRef ds:uri="http://schemas.microsoft.com/office/2006/metadata/properties"/>
    <ds:schemaRef ds:uri="a1a3e32b-2f61-4ed2-8005-4759f7176664"/>
    <ds:schemaRef ds:uri="http://schemas.openxmlformats.org/package/2006/metadata/core-properties"/>
    <ds:schemaRef ds:uri="d825955d-c47e-4fd7-8874-018c5c37d6f9"/>
    <ds:schemaRef ds:uri="http://www.w3.org/XML/1998/namespace"/>
    <ds:schemaRef ds:uri="http://purl.org/dc/dcmitype/"/>
  </ds:schemaRefs>
</ds:datastoreItem>
</file>

<file path=customXml/itemProps2.xml><?xml version="1.0" encoding="utf-8"?>
<ds:datastoreItem xmlns:ds="http://schemas.openxmlformats.org/officeDocument/2006/customXml" ds:itemID="{7CD2CFE2-4560-4425-AB4F-1829D602CA30}">
  <ds:schemaRefs>
    <ds:schemaRef ds:uri="http://schemas.openxmlformats.org/officeDocument/2006/bibliography"/>
  </ds:schemaRefs>
</ds:datastoreItem>
</file>

<file path=customXml/itemProps3.xml><?xml version="1.0" encoding="utf-8"?>
<ds:datastoreItem xmlns:ds="http://schemas.openxmlformats.org/officeDocument/2006/customXml" ds:itemID="{D6AE1396-B8AC-41C7-BDCE-9E1997DAF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3e32b-2f61-4ed2-8005-4759f7176664"/>
    <ds:schemaRef ds:uri="d825955d-c47e-4fd7-8874-018c5c37d6f9"/>
    <ds:schemaRef ds:uri="c2b36edf-d6b4-4d40-9417-44b51de55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3EE2D5-B1F3-459B-99C6-7448C453D1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5</Pages>
  <Words>1007</Words>
  <Characters>5356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6351</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Harding, Tom</cp:lastModifiedBy>
  <cp:revision>16</cp:revision>
  <cp:lastPrinted>2017-10-10T09:12:00Z</cp:lastPrinted>
  <dcterms:created xsi:type="dcterms:W3CDTF">2026-05-15T14:03:00Z</dcterms:created>
  <dcterms:modified xsi:type="dcterms:W3CDTF">2026-05-16T13:21:00Z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0x010100CF55B783887D8644B1BB2AF88A1F729D</vt:lpwstr>
  </property>
  <property fmtid="{D5CDD505-2E9C-101B-9397-08002B2CF9AE}" pid="3" name="MediaServiceImageTags">
    <vt:lpwstr/>
  </property>
  <property fmtid="{D5CDD505-2E9C-101B-9397-08002B2CF9AE}" pid="4" name="MSIP_Label_a1efa356-9eb4-4552-936b-71c46585f57a_Enabled">
    <vt:lpwstr>true</vt:lpwstr>
  </property>
  <property fmtid="{D5CDD505-2E9C-101B-9397-08002B2CF9AE}" pid="5" name="MSIP_Label_a1efa356-9eb4-4552-936b-71c46585f57a_SetDate">
    <vt:lpwstr>2026-05-15T14:03:59Z</vt:lpwstr>
  </property>
  <property fmtid="{D5CDD505-2E9C-101B-9397-08002B2CF9AE}" pid="6" name="MSIP_Label_a1efa356-9eb4-4552-936b-71c46585f57a_Method">
    <vt:lpwstr>Standard</vt:lpwstr>
  </property>
  <property fmtid="{D5CDD505-2E9C-101B-9397-08002B2CF9AE}" pid="7" name="MSIP_Label_a1efa356-9eb4-4552-936b-71c46585f57a_Name">
    <vt:lpwstr>defa4170-0d19-0005-0004-bc88714345d2</vt:lpwstr>
  </property>
  <property fmtid="{D5CDD505-2E9C-101B-9397-08002B2CF9AE}" pid="8" name="MSIP_Label_a1efa356-9eb4-4552-936b-71c46585f57a_SiteId">
    <vt:lpwstr>ac4b077e-a758-4bc5-9465-35c192007704</vt:lpwstr>
  </property>
  <property fmtid="{D5CDD505-2E9C-101B-9397-08002B2CF9AE}" pid="9" name="MSIP_Label_a1efa356-9eb4-4552-936b-71c46585f57a_ActionId">
    <vt:lpwstr>feacc82a-5645-46e6-8a79-583eb317265e</vt:lpwstr>
  </property>
  <property fmtid="{D5CDD505-2E9C-101B-9397-08002B2CF9AE}" pid="10" name="MSIP_Label_a1efa356-9eb4-4552-936b-71c46585f57a_ContentBits">
    <vt:lpwstr>0</vt:lpwstr>
  </property>
  <property fmtid="{D5CDD505-2E9C-101B-9397-08002B2CF9AE}" pid="11" name="MSIP_Label_a1efa356-9eb4-4552-936b-71c46585f57a_Tag">
    <vt:lpwstr>10, 3, 0, 1</vt:lpwstr>
  </property>
</Properties>
</file>